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77777777"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3EBB444" w14:textId="77777777" w:rsidR="00F05630" w:rsidRDefault="00F05630" w:rsidP="0043040E">
      <w:pPr>
        <w:pStyle w:val="DHW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938"/>
      </w:tblGrid>
      <w:tr w:rsidR="0069065D" w:rsidRPr="002E2B56" w14:paraId="7CB36DA6" w14:textId="77777777" w:rsidTr="00245913">
        <w:trPr>
          <w:trHeight w:val="671"/>
        </w:trPr>
        <w:tc>
          <w:tcPr>
            <w:tcW w:w="11016" w:type="dxa"/>
            <w:gridSpan w:val="2"/>
            <w:vAlign w:val="center"/>
          </w:tcPr>
          <w:p w14:paraId="672DD3E3" w14:textId="77777777" w:rsidR="00603CDF" w:rsidRDefault="0069065D" w:rsidP="00113317">
            <w:pPr>
              <w:pStyle w:val="DHWHeading1"/>
              <w:tabs>
                <w:tab w:val="clear" w:pos="10198"/>
              </w:tabs>
              <w:spacing w:after="0"/>
            </w:pPr>
            <w:r w:rsidRPr="002E2B56">
              <w:lastRenderedPageBreak/>
              <w:t xml:space="preserve">Standard (Safe) Operating Procedure: </w:t>
            </w:r>
          </w:p>
          <w:p w14:paraId="1212F7A7" w14:textId="62335AC3" w:rsidR="0069065D" w:rsidRPr="002E2B56" w:rsidRDefault="00603CDF" w:rsidP="00113317">
            <w:pPr>
              <w:pStyle w:val="DHWHeading1"/>
              <w:tabs>
                <w:tab w:val="clear" w:pos="10198"/>
              </w:tabs>
              <w:spacing w:after="0"/>
            </w:pPr>
            <w:r>
              <w:rPr>
                <w:caps/>
              </w:rPr>
              <w:t>Reproductive</w:t>
            </w:r>
            <w:r w:rsidR="00017C3F" w:rsidRPr="00575560">
              <w:rPr>
                <w:caps/>
              </w:rPr>
              <w:t xml:space="preserve"> Toxicants</w:t>
            </w:r>
          </w:p>
        </w:tc>
      </w:tr>
      <w:tr w:rsidR="002E2B56" w:rsidRPr="002E2B56" w14:paraId="78E8D8C9" w14:textId="77777777" w:rsidTr="00276AB3">
        <w:tc>
          <w:tcPr>
            <w:tcW w:w="3078" w:type="dxa"/>
          </w:tcPr>
          <w:p w14:paraId="0A826B0D" w14:textId="1EF1DE4D" w:rsidR="002E2B56" w:rsidRPr="002E2B56" w:rsidRDefault="00B742AF" w:rsidP="00FD64D2">
            <w:pPr>
              <w:pStyle w:val="DHWHanging1"/>
              <w:tabs>
                <w:tab w:val="clear" w:pos="6095"/>
              </w:tabs>
              <w:ind w:left="0" w:firstLine="0"/>
            </w:pPr>
            <w:r>
              <w:rPr>
                <w:b/>
                <w:bCs/>
              </w:rPr>
              <w:t xml:space="preserve">Nature of </w:t>
            </w:r>
            <w:r w:rsidR="002E2B56" w:rsidRPr="002E2B56">
              <w:rPr>
                <w:b/>
                <w:bCs/>
              </w:rPr>
              <w:t>Hazard</w:t>
            </w:r>
          </w:p>
        </w:tc>
        <w:tc>
          <w:tcPr>
            <w:tcW w:w="7938" w:type="dxa"/>
          </w:tcPr>
          <w:p w14:paraId="7906188F" w14:textId="62160729" w:rsidR="002122DC" w:rsidRDefault="002122DC" w:rsidP="002122DC">
            <w:pPr>
              <w:pStyle w:val="DHWHanging1"/>
              <w:ind w:left="0" w:firstLine="0"/>
            </w:pPr>
            <w:r>
              <w:t xml:space="preserve">The </w:t>
            </w:r>
            <w:hyperlink r:id="rId14" w:history="1">
              <w:r>
                <w:rPr>
                  <w:rStyle w:val="Hyperlink"/>
                </w:rPr>
                <w:t>OSHA/GHS hazard class</w:t>
              </w:r>
            </w:hyperlink>
            <w:r>
              <w:t xml:space="preserve"> </w:t>
            </w:r>
            <w:r>
              <w:rPr>
                <w:i/>
              </w:rPr>
              <w:t>reproductive toxicity</w:t>
            </w:r>
            <w:r>
              <w:t xml:space="preserve"> covers substances which may have adverse effects on sexual function or fertility in adult males or females, or which may have adverse effects on the development of offspring. The class </w:t>
            </w:r>
            <w:r>
              <w:rPr>
                <w:i/>
              </w:rPr>
              <w:t>effects on or via lactation</w:t>
            </w:r>
            <w:r>
              <w:t xml:space="preserve"> covers substances which may interfere with lactation or which may have an adverse effect on a breastfed child through being excreted in breast milk, either unchanged or as harmful metabolites. The class </w:t>
            </w:r>
            <w:r>
              <w:rPr>
                <w:i/>
              </w:rPr>
              <w:t>germ cell mutagenicity</w:t>
            </w:r>
            <w:r>
              <w:t xml:space="preserve"> covers substances which may give rise to genetic changes heritable via mutated sperm or eggs. For the purposes of lab safety, the three hazard classes are often lumped together under the generic term reproductive toxicants. Throughout this SOP, the term </w:t>
            </w:r>
            <w:r>
              <w:rPr>
                <w:i/>
              </w:rPr>
              <w:t xml:space="preserve">reproductive toxicant </w:t>
            </w:r>
            <w:r>
              <w:t xml:space="preserve">is used in this broad sense, except where context makes it obvious that </w:t>
            </w:r>
            <w:r>
              <w:rPr>
                <w:i/>
              </w:rPr>
              <w:t>reproductive toxicant</w:t>
            </w:r>
            <w:r>
              <w:t xml:space="preserve"> is referring to the specific OSHA/GHS hazard class.</w:t>
            </w:r>
          </w:p>
          <w:p w14:paraId="48517B02" w14:textId="05EABBD0" w:rsidR="00863F2B" w:rsidRPr="002E2B56" w:rsidRDefault="002122DC" w:rsidP="003009EF">
            <w:pPr>
              <w:pStyle w:val="DHWIndent1"/>
              <w:ind w:left="0"/>
            </w:pPr>
            <w:r>
              <w:t>Reproductive toxicants act on the body by all routes of exposure (absorption through skin/eyes/mucous membranes, injection under skin, ingestion, inhalation as dust, droplets, or vapor).</w:t>
            </w:r>
          </w:p>
        </w:tc>
      </w:tr>
      <w:tr w:rsidR="002E2B56" w:rsidRPr="002E2B56" w14:paraId="770BEECB" w14:textId="77777777" w:rsidTr="00276AB3">
        <w:tc>
          <w:tcPr>
            <w:tcW w:w="3078" w:type="dxa"/>
          </w:tcPr>
          <w:p w14:paraId="588728DE" w14:textId="77777777" w:rsidR="002E2B56" w:rsidRPr="002E2B56" w:rsidRDefault="002E2B56" w:rsidP="00FD64D2">
            <w:pPr>
              <w:pStyle w:val="DHWHanging1"/>
              <w:tabs>
                <w:tab w:val="clear" w:pos="6095"/>
              </w:tabs>
              <w:ind w:left="0" w:firstLine="0"/>
            </w:pPr>
            <w:r w:rsidRPr="002E2B56">
              <w:rPr>
                <w:b/>
                <w:bCs/>
              </w:rPr>
              <w:t>PHS</w:t>
            </w:r>
          </w:p>
        </w:tc>
        <w:tc>
          <w:tcPr>
            <w:tcW w:w="7938" w:type="dxa"/>
          </w:tcPr>
          <w:p w14:paraId="5437AD9B" w14:textId="0FF1BFF6" w:rsidR="002E2B56" w:rsidRPr="002E2B56" w:rsidRDefault="00521965" w:rsidP="00416712">
            <w:pPr>
              <w:pStyle w:val="DHWHanging1"/>
              <w:tabs>
                <w:tab w:val="clear" w:pos="6095"/>
              </w:tabs>
              <w:ind w:left="0" w:firstLine="0"/>
            </w:pPr>
            <w:r>
              <w:t>Reproductive toxicants are considered</w:t>
            </w:r>
            <w:r w:rsidR="0071618F">
              <w:rPr>
                <w:iCs/>
              </w:rPr>
              <w:t xml:space="preserve"> </w:t>
            </w:r>
            <w:r w:rsidR="00416712">
              <w:rPr>
                <w:i/>
              </w:rPr>
              <w:t>Particularly Hazardous Substance</w:t>
            </w:r>
            <w:r w:rsidR="00416712">
              <w:t xml:space="preserve"> (PHS) by Cal-OSHA </w:t>
            </w:r>
            <w:r w:rsidR="00416712" w:rsidRPr="006203B8">
              <w:t>(</w:t>
            </w:r>
            <w:hyperlink r:id="rId15" w:history="1">
              <w:r w:rsidR="00416712" w:rsidRPr="006203B8">
                <w:rPr>
                  <w:rStyle w:val="Hyperlink"/>
                </w:rPr>
                <w:t>8 CCR §5191 (e) (H)</w:t>
              </w:r>
            </w:hyperlink>
            <w:r w:rsidR="00416712" w:rsidRPr="006203B8">
              <w:t>)</w:t>
            </w:r>
            <w:r w:rsidR="00416712">
              <w:t xml:space="preserve">. PHS must be handled with special care. </w:t>
            </w:r>
            <w:r w:rsidR="00B83216">
              <w:t>R</w:t>
            </w:r>
            <w:r w:rsidR="002E2B56" w:rsidRPr="002E2B56">
              <w:t xml:space="preserve">efer to the </w:t>
            </w:r>
            <w:hyperlink r:id="rId16" w:history="1">
              <w:r w:rsidR="002E2B56" w:rsidRPr="002E2B56">
                <w:rPr>
                  <w:rStyle w:val="Hyperlink"/>
                </w:rPr>
                <w:t>CHP</w:t>
              </w:r>
            </w:hyperlink>
            <w:r w:rsidR="002E2B56" w:rsidRPr="002E2B56">
              <w:t xml:space="preserve"> (Sections 6 and 8</w:t>
            </w:r>
            <w:r w:rsidR="002E2B56" w:rsidRPr="002E2B56">
              <w:rPr>
                <w:vertAlign w:val="superscript"/>
              </w:rPr>
              <w:footnoteReference w:id="1"/>
            </w:r>
            <w:r w:rsidR="002E2B56" w:rsidRPr="002E2B56">
              <w:t>) for more information on the classification and identification of PHS, and safe practices for working with these materials.</w:t>
            </w:r>
          </w:p>
        </w:tc>
      </w:tr>
      <w:tr w:rsidR="0054203C" w:rsidRPr="002E2B56" w14:paraId="0D7D43AF" w14:textId="77777777" w:rsidTr="00276AB3">
        <w:tc>
          <w:tcPr>
            <w:tcW w:w="3078" w:type="dxa"/>
          </w:tcPr>
          <w:p w14:paraId="5C92AFB9" w14:textId="13319733" w:rsidR="0054203C" w:rsidRPr="002E2B56" w:rsidRDefault="00435B10" w:rsidP="00FD64D2">
            <w:pPr>
              <w:pStyle w:val="DHWHanging1"/>
              <w:tabs>
                <w:tab w:val="clear" w:pos="6095"/>
              </w:tabs>
              <w:ind w:left="0" w:firstLine="0"/>
              <w:rPr>
                <w:b/>
                <w:bCs/>
              </w:rPr>
            </w:pPr>
            <w:r>
              <w:rPr>
                <w:b/>
                <w:bCs/>
              </w:rPr>
              <w:t>Hazard Identification</w:t>
            </w:r>
          </w:p>
        </w:tc>
        <w:tc>
          <w:tcPr>
            <w:tcW w:w="7938" w:type="dxa"/>
          </w:tcPr>
          <w:p w14:paraId="1967F035" w14:textId="77777777" w:rsidR="00714F86" w:rsidRDefault="00714F86" w:rsidP="00714F86">
            <w:pPr>
              <w:pStyle w:val="DHWHanging1"/>
              <w:tabs>
                <w:tab w:val="clear" w:pos="6095"/>
              </w:tabs>
              <w:spacing w:after="0"/>
              <w:ind w:left="0" w:firstLine="0"/>
              <w:rPr>
                <w:b/>
                <w:color w:val="FF0000"/>
              </w:rPr>
            </w:pPr>
            <w:r>
              <w:t>R</w:t>
            </w:r>
            <w:r w:rsidRPr="002E2B56">
              <w:t xml:space="preserve">efer to Section 6 of the </w:t>
            </w:r>
            <w:hyperlink r:id="rId17" w:history="1">
              <w:r w:rsidRPr="002E2B56">
                <w:rPr>
                  <w:rStyle w:val="Hyperlink"/>
                </w:rPr>
                <w:t>Chemical Hygiene Plan (CHP)</w:t>
              </w:r>
            </w:hyperlink>
            <w:r w:rsidRPr="002E2B56">
              <w:t xml:space="preserve"> for details of the OSHA/GHS hazard classification system.</w:t>
            </w:r>
            <w:r w:rsidRPr="002E2B56">
              <w:rPr>
                <w:b/>
              </w:rPr>
              <w:t xml:space="preserve"> </w:t>
            </w:r>
            <w:r w:rsidRPr="002E2B56">
              <w:rPr>
                <w:b/>
                <w:color w:val="FF0000"/>
              </w:rPr>
              <w:t>All personnel who agree to abide by this SOP are required to familiarize themselves with the contents of Section 6 of the CHP.</w:t>
            </w:r>
          </w:p>
          <w:p w14:paraId="0629E07D" w14:textId="77777777" w:rsidR="00714F86" w:rsidRDefault="00714F86" w:rsidP="006E7AAF">
            <w:pPr>
              <w:pStyle w:val="DHWHanging1"/>
              <w:spacing w:after="0"/>
              <w:ind w:left="0" w:firstLine="0"/>
            </w:pPr>
          </w:p>
          <w:p w14:paraId="50BC03D3" w14:textId="77777777" w:rsidR="007170C5" w:rsidRDefault="007170C5" w:rsidP="007170C5">
            <w:pPr>
              <w:pStyle w:val="DHWIndent1"/>
              <w:ind w:left="0"/>
            </w:pPr>
            <w:r>
              <w:t xml:space="preserve">For purchased chemicals, identification as a reproductive toxicant should be made by assessing hazard information given in the safety data sheet (SDS) against the criteria given in the CHP subsection </w:t>
            </w:r>
            <w:r>
              <w:rPr>
                <w:i/>
              </w:rPr>
              <w:t>Particularly Hazardous Substances</w:t>
            </w:r>
            <w:r>
              <w:t xml:space="preserve"> (towards the end of Section 6). If the SDS does not list the material as reproductively toxic, the material may still be a reproductive toxicant according to California Proposition 65; check the official list to confirm (</w:t>
            </w:r>
            <w:hyperlink r:id="rId18" w:history="1">
              <w:r>
                <w:rPr>
                  <w:rStyle w:val="Hyperlink"/>
                </w:rPr>
                <w:t>https://oehha.ca.gov/proposition-65/proposition-65-list</w:t>
              </w:r>
            </w:hyperlink>
            <w:r>
              <w:t>).</w:t>
            </w:r>
          </w:p>
          <w:p w14:paraId="57EBA3DF" w14:textId="757F2CA1" w:rsidR="007170C5" w:rsidRDefault="007170C5" w:rsidP="007170C5">
            <w:pPr>
              <w:pStyle w:val="DHWIndent1"/>
              <w:ind w:left="0"/>
            </w:pPr>
            <w:r>
              <w:t xml:space="preserve">In conformance with </w:t>
            </w:r>
            <w:hyperlink r:id="rId19" w:history="1">
              <w:r>
                <w:rPr>
                  <w:rStyle w:val="Hyperlink"/>
                </w:rPr>
                <w:t>hazard communication regulations</w:t>
              </w:r>
            </w:hyperlink>
            <w:r>
              <w:t>, mixtures shall be classified as germ cell mutagens if they contain ≥ 0.1 % w/w category 1A/IB mutagen or ≥ 1.0 % w/w category 2 mutagen. Mixtures shall be classified as reproductively toxic if they contain ≥ 0.1 % w/w of a category 1 or 2 reproductive toxicant. Mixtures shall be classified as having an effect via lactation if ≥ 0.1 % w/w of material having an effect via lactation is present.</w:t>
            </w:r>
          </w:p>
          <w:p w14:paraId="6C9BA61C" w14:textId="77777777" w:rsidR="007170C5" w:rsidRDefault="007170C5" w:rsidP="007170C5">
            <w:pPr>
              <w:pStyle w:val="DHWIndent1"/>
              <w:spacing w:after="0"/>
              <w:ind w:left="0"/>
            </w:pPr>
          </w:p>
          <w:p w14:paraId="026C3D6E" w14:textId="07F85814" w:rsidR="0054203C" w:rsidRDefault="007170C5" w:rsidP="001F1D72">
            <w:pPr>
              <w:pStyle w:val="DHWIndent1"/>
              <w:ind w:left="0"/>
            </w:pPr>
            <w:r>
              <w:lastRenderedPageBreak/>
              <w:t>Newly synthesized substances for which adequate safety data is not available shall be considered as PHS if there is any suspicion they might be reproductive toxicants based on chemical reactivity or structural analogies to known reproductive toxicants, mutagens, or substances having an adverse effect via lactation.</w:t>
            </w:r>
          </w:p>
        </w:tc>
      </w:tr>
      <w:tr w:rsidR="002E2B56" w:rsidRPr="002E2B56" w14:paraId="018F71CF" w14:textId="77777777" w:rsidTr="00276AB3">
        <w:tc>
          <w:tcPr>
            <w:tcW w:w="3078" w:type="dxa"/>
          </w:tcPr>
          <w:p w14:paraId="1FD4D9A2" w14:textId="77777777" w:rsidR="002E2B56" w:rsidRPr="002E2B56" w:rsidRDefault="002E2B56" w:rsidP="00FD64D2">
            <w:pPr>
              <w:pStyle w:val="DHWHanging1"/>
              <w:tabs>
                <w:tab w:val="clear" w:pos="6095"/>
              </w:tabs>
              <w:ind w:left="0" w:firstLine="0"/>
            </w:pPr>
            <w:r w:rsidRPr="002E2B56">
              <w:rPr>
                <w:b/>
                <w:bCs/>
              </w:rPr>
              <w:lastRenderedPageBreak/>
              <w:t>Specific Substances</w:t>
            </w:r>
          </w:p>
        </w:tc>
        <w:tc>
          <w:tcPr>
            <w:tcW w:w="7938" w:type="dxa"/>
          </w:tcPr>
          <w:p w14:paraId="43ADE74E" w14:textId="21EFBC85" w:rsidR="002E2B56" w:rsidRPr="002E2B56" w:rsidRDefault="002E2B56" w:rsidP="00FD64D2">
            <w:pPr>
              <w:pStyle w:val="DHWHanging1"/>
              <w:tabs>
                <w:tab w:val="clear" w:pos="6095"/>
              </w:tabs>
              <w:ind w:left="0" w:firstLine="0"/>
            </w:pPr>
            <w:r w:rsidRPr="002E2B56">
              <w:rPr>
                <w:highlight w:val="yellow"/>
              </w:rPr>
              <w:t>[Add details of specific substances you will be using in the lab under this SOP.]</w:t>
            </w:r>
          </w:p>
        </w:tc>
      </w:tr>
      <w:tr w:rsidR="00276AB3" w:rsidRPr="002E2B56" w14:paraId="31C52332" w14:textId="77777777" w:rsidTr="00276AB3">
        <w:tc>
          <w:tcPr>
            <w:tcW w:w="3078" w:type="dxa"/>
          </w:tcPr>
          <w:p w14:paraId="1EF3439B" w14:textId="686720DC" w:rsidR="00276AB3" w:rsidRPr="002E2B56" w:rsidRDefault="00276AB3" w:rsidP="00FD64D2">
            <w:pPr>
              <w:pStyle w:val="DHWHanging1"/>
              <w:tabs>
                <w:tab w:val="clear" w:pos="6095"/>
              </w:tabs>
              <w:ind w:left="0" w:firstLine="0"/>
              <w:rPr>
                <w:b/>
                <w:bCs/>
              </w:rPr>
            </w:pPr>
            <w:r>
              <w:rPr>
                <w:b/>
                <w:bCs/>
              </w:rPr>
              <w:t>Designated Work Areas</w:t>
            </w:r>
            <w:r w:rsidR="00D2185A">
              <w:rPr>
                <w:b/>
                <w:bCs/>
              </w:rPr>
              <w:t>/ Signage</w:t>
            </w:r>
          </w:p>
        </w:tc>
        <w:tc>
          <w:tcPr>
            <w:tcW w:w="7938" w:type="dxa"/>
          </w:tcPr>
          <w:p w14:paraId="2231D123" w14:textId="07E948AB" w:rsidR="0042033F" w:rsidRDefault="00EA023D" w:rsidP="00D2185A">
            <w:pPr>
              <w:pStyle w:val="DHWIndent1"/>
              <w:ind w:left="-13" w:firstLine="13"/>
              <w:rPr>
                <w:highlight w:val="yellow"/>
              </w:rPr>
            </w:pPr>
            <w:r>
              <w:t xml:space="preserve">For low-hazard work with </w:t>
            </w:r>
            <w:r w:rsidR="002E3E48">
              <w:t>reproductive</w:t>
            </w:r>
            <w:r>
              <w:t xml:space="preserve"> toxicants</w:t>
            </w:r>
            <w:r w:rsidRPr="004A49AF">
              <w:t xml:space="preserve"> (e.g.</w:t>
            </w:r>
            <w:r>
              <w:t>,</w:t>
            </w:r>
            <w:r w:rsidRPr="004A49AF">
              <w:t xml:space="preserve"> </w:t>
            </w:r>
            <w:r w:rsidR="002E3E48">
              <w:t>weak reproductive</w:t>
            </w:r>
            <w:r>
              <w:t xml:space="preserve"> toxicants,</w:t>
            </w:r>
            <w:r w:rsidRPr="004A49AF">
              <w:t xml:space="preserve"> or very low concentrations), the lab may be considered the designated area provided the lab door signs include </w:t>
            </w:r>
            <w:r>
              <w:t>appropriate</w:t>
            </w:r>
            <w:r w:rsidRPr="004A49AF">
              <w:t xml:space="preserve"> warning pictograms. More hazardous work with </w:t>
            </w:r>
            <w:r>
              <w:t>acute toxicants</w:t>
            </w:r>
            <w:r w:rsidRPr="004A49AF">
              <w:t xml:space="preserve"> should be done at designated areas within the lab (e.g.</w:t>
            </w:r>
            <w:r>
              <w:t>,</w:t>
            </w:r>
            <w:r w:rsidRPr="004A49AF">
              <w:t xml:space="preserve"> a fume hood) which should be signed “Warning</w:t>
            </w:r>
            <w:r>
              <w:t xml:space="preserve"> </w:t>
            </w:r>
            <w:r w:rsidRPr="004A49AF">
              <w:rPr>
                <w:rFonts w:cs="Times New Roman"/>
              </w:rPr>
              <w:t>—</w:t>
            </w:r>
            <w:r>
              <w:rPr>
                <w:rFonts w:cs="Times New Roman"/>
              </w:rPr>
              <w:t xml:space="preserve"> </w:t>
            </w:r>
            <w:r w:rsidR="00880875">
              <w:t>Reproductive Toxicant</w:t>
            </w:r>
            <w:r w:rsidRPr="004A49AF">
              <w:t>” (or</w:t>
            </w:r>
            <w:r>
              <w:t xml:space="preserve"> equivalent wording). If highly hazardous work is being performed, additional signage giving the name of the responsible individual and contact number is also recommended.</w:t>
            </w:r>
          </w:p>
          <w:p w14:paraId="75755830" w14:textId="4EBF767F" w:rsidR="00276AB3" w:rsidRPr="002E2B56" w:rsidRDefault="00D2185A" w:rsidP="00D2185A">
            <w:pPr>
              <w:pStyle w:val="DHWIndent1"/>
              <w:ind w:left="-13" w:firstLine="13"/>
              <w:rPr>
                <w:highlight w:val="yellow"/>
              </w:rPr>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tc>
      </w:tr>
      <w:tr w:rsidR="00276AB3" w:rsidRPr="002E2B56" w14:paraId="65C414E1" w14:textId="77777777" w:rsidTr="00276AB3">
        <w:tc>
          <w:tcPr>
            <w:tcW w:w="3078" w:type="dxa"/>
          </w:tcPr>
          <w:p w14:paraId="195B56CB" w14:textId="0EFCD0A3" w:rsidR="00276AB3" w:rsidRPr="002E2B56" w:rsidRDefault="00D2185A" w:rsidP="00FD64D2">
            <w:pPr>
              <w:pStyle w:val="DHWHanging1"/>
              <w:tabs>
                <w:tab w:val="clear" w:pos="6095"/>
              </w:tabs>
              <w:ind w:left="0" w:firstLine="0"/>
              <w:rPr>
                <w:b/>
                <w:bCs/>
              </w:rPr>
            </w:pPr>
            <w:r>
              <w:rPr>
                <w:b/>
                <w:bCs/>
              </w:rPr>
              <w:t>Unattended Experiments</w:t>
            </w:r>
          </w:p>
        </w:tc>
        <w:tc>
          <w:tcPr>
            <w:tcW w:w="7938" w:type="dxa"/>
          </w:tcPr>
          <w:p w14:paraId="601D7951" w14:textId="5505DA98" w:rsidR="00276AB3" w:rsidRPr="002E2B56" w:rsidRDefault="00015776" w:rsidP="00FD64D2">
            <w:pPr>
              <w:pStyle w:val="DHWHanging1"/>
              <w:tabs>
                <w:tab w:val="clear" w:pos="6095"/>
              </w:tabs>
              <w:ind w:left="0" w:firstLine="0"/>
              <w:rPr>
                <w:highlight w:val="yellow"/>
              </w:rPr>
            </w:pPr>
            <w:r>
              <w:t xml:space="preserve">Unattended hazardous experiments should be signed according to the requirements of the </w:t>
            </w:r>
            <w:hyperlink r:id="rId20" w:history="1">
              <w:r w:rsidRPr="00017BA4">
                <w:rPr>
                  <w:rStyle w:val="Hyperlink"/>
                </w:rPr>
                <w:t>Unattended Experiments Fact Sheet</w:t>
              </w:r>
            </w:hyperlink>
            <w:r w:rsidRPr="00017BA4">
              <w:t>.</w:t>
            </w:r>
          </w:p>
        </w:tc>
      </w:tr>
      <w:tr w:rsidR="00015776" w:rsidRPr="002E2B56" w14:paraId="3DA5FEAD" w14:textId="77777777" w:rsidTr="00D12D42">
        <w:trPr>
          <w:trHeight w:val="3668"/>
        </w:trPr>
        <w:tc>
          <w:tcPr>
            <w:tcW w:w="3078" w:type="dxa"/>
          </w:tcPr>
          <w:p w14:paraId="67D58D59" w14:textId="5CE27D48" w:rsidR="00015776" w:rsidRDefault="00015776" w:rsidP="00FD64D2">
            <w:pPr>
              <w:pStyle w:val="DHWHanging1"/>
              <w:tabs>
                <w:tab w:val="clear" w:pos="6095"/>
              </w:tabs>
              <w:ind w:left="0" w:firstLine="0"/>
              <w:rPr>
                <w:b/>
                <w:bCs/>
              </w:rPr>
            </w:pPr>
            <w:r w:rsidRPr="00156E48">
              <w:rPr>
                <w:b/>
                <w:bCs/>
              </w:rPr>
              <w:t>Storage Requirements</w:t>
            </w:r>
          </w:p>
        </w:tc>
        <w:tc>
          <w:tcPr>
            <w:tcW w:w="7938" w:type="dxa"/>
          </w:tcPr>
          <w:p w14:paraId="7669BEC7" w14:textId="203A9C7E" w:rsidR="009C777F" w:rsidRDefault="009C777F" w:rsidP="006A568B">
            <w:pPr>
              <w:pStyle w:val="DHWHanging1"/>
              <w:ind w:left="0" w:firstLine="0"/>
            </w:pPr>
            <w:r>
              <w:t>Reproductive toxicants should be stored in labeled secondary containment (e.g.</w:t>
            </w:r>
            <w:r>
              <w:t>,</w:t>
            </w:r>
            <w:r>
              <w:t xml:space="preserve"> polypropylene trays). Reproductive toxicants shall not be stored under sinks. They should be stored below eye level and upright in a well-ventilated area out of direct sunlight. Keep reproductive toxicants segregated from chemically incompatible materials (e.g.</w:t>
            </w:r>
            <w:r>
              <w:t>,</w:t>
            </w:r>
            <w:r>
              <w:t xml:space="preserve"> reproductive toxicants which are also flammable, combustible, or reducing shall not be stored with oxidants). Extremely potent reproductive toxicants, or reproductive toxicants which are also highly toxic should be segregated away from other materials and stored in closed secondary containment if possible.</w:t>
            </w:r>
          </w:p>
          <w:p w14:paraId="069C84F9" w14:textId="31C890DA" w:rsidR="00015776" w:rsidRDefault="000A6A54" w:rsidP="006A568B">
            <w:pPr>
              <w:pStyle w:val="DHWHanging1"/>
              <w:ind w:left="0" w:firstLine="0"/>
            </w:pPr>
            <w:r>
              <w:t>R</w:t>
            </w:r>
            <w:r w:rsidR="00263D0D">
              <w:t xml:space="preserve">efer to the </w:t>
            </w:r>
            <w:hyperlink r:id="rId21" w:history="1">
              <w:r w:rsidR="006025F9" w:rsidRPr="00057A6E">
                <w:rPr>
                  <w:rStyle w:val="Hyperlink"/>
                </w:rPr>
                <w:t>CHP</w:t>
              </w:r>
              <w:r w:rsidR="006025F9" w:rsidRPr="004200E3">
                <w:rPr>
                  <w:rStyle w:val="Hyperlink"/>
                </w:rPr>
                <w:t xml:space="preserve"> </w:t>
              </w:r>
            </w:hyperlink>
            <w:r w:rsidR="00263D0D">
              <w:t xml:space="preserve">(Section 7) for further information on storage and inventory-keeping requirements. </w:t>
            </w:r>
          </w:p>
        </w:tc>
      </w:tr>
      <w:tr w:rsidR="00015776" w:rsidRPr="002E2B56" w14:paraId="62D88050" w14:textId="77777777" w:rsidTr="00276AB3">
        <w:tc>
          <w:tcPr>
            <w:tcW w:w="3078" w:type="dxa"/>
          </w:tcPr>
          <w:p w14:paraId="617D43B3" w14:textId="259C6F80" w:rsidR="00015776" w:rsidRDefault="00263D0D" w:rsidP="00FD64D2">
            <w:pPr>
              <w:pStyle w:val="DHWHanging1"/>
              <w:tabs>
                <w:tab w:val="clear" w:pos="6095"/>
              </w:tabs>
              <w:ind w:left="0" w:firstLine="0"/>
              <w:rPr>
                <w:b/>
                <w:bCs/>
              </w:rPr>
            </w:pPr>
            <w:r w:rsidRPr="00F87F67">
              <w:rPr>
                <w:b/>
                <w:bCs/>
              </w:rPr>
              <w:t>Labeling</w:t>
            </w:r>
          </w:p>
        </w:tc>
        <w:tc>
          <w:tcPr>
            <w:tcW w:w="7938" w:type="dxa"/>
          </w:tcPr>
          <w:p w14:paraId="1D9B1DF2" w14:textId="6AAADA1A" w:rsidR="00015776" w:rsidRDefault="004418DB" w:rsidP="00441DF8">
            <w:pPr>
              <w:pStyle w:val="DHWHanging1"/>
              <w:tabs>
                <w:tab w:val="clear" w:pos="6095"/>
              </w:tabs>
              <w:ind w:left="0" w:firstLine="0"/>
            </w:pPr>
            <w:r>
              <w:t>Reproductive toxicant materials not in active use shall be labelled to indicate the hazard. Reproductive toxicant storage areas (cupboards, shelves, or secondary containment) shall be labelled “Danger! Reproductive Toxicant</w:t>
            </w:r>
            <w:r>
              <w:t>.</w:t>
            </w:r>
            <w:r>
              <w:t xml:space="preserve">” </w:t>
            </w:r>
            <w:r w:rsidR="00AC51AF">
              <w:t xml:space="preserve">Label templates are available at the </w:t>
            </w:r>
            <w:hyperlink r:id="rId22" w:history="1">
              <w:r w:rsidR="00AC51AF" w:rsidRPr="00F211DC">
                <w:rPr>
                  <w:rStyle w:val="Hyperlink"/>
                </w:rPr>
                <w:t>Chemical Labeling and Signage</w:t>
              </w:r>
            </w:hyperlink>
            <w:r w:rsidR="00AC51AF">
              <w:t xml:space="preserve"> web page. </w:t>
            </w:r>
            <w:r w:rsidR="00FB7463">
              <w:t>Refer</w:t>
            </w:r>
            <w:r w:rsidR="00417E48">
              <w:t xml:space="preserve"> to </w:t>
            </w:r>
            <w:hyperlink r:id="rId23" w:history="1">
              <w:r w:rsidR="00417E48" w:rsidRPr="00057A6E">
                <w:rPr>
                  <w:rStyle w:val="Hyperlink"/>
                </w:rPr>
                <w:t>CHP</w:t>
              </w:r>
              <w:r w:rsidR="00417E48" w:rsidRPr="004200E3">
                <w:rPr>
                  <w:rStyle w:val="Hyperlink"/>
                </w:rPr>
                <w:t xml:space="preserve"> </w:t>
              </w:r>
            </w:hyperlink>
            <w:r w:rsidR="00417E48">
              <w:t>(Section 5) for detailed requirements on hazardous materials labeling</w:t>
            </w:r>
            <w:r w:rsidR="001934D1">
              <w:t>.</w:t>
            </w:r>
            <w:r w:rsidR="00240BC9">
              <w:t xml:space="preserve"> </w:t>
            </w:r>
          </w:p>
        </w:tc>
      </w:tr>
      <w:tr w:rsidR="00015776" w:rsidRPr="002E2B56" w14:paraId="0A377A0C" w14:textId="77777777" w:rsidTr="00276AB3">
        <w:tc>
          <w:tcPr>
            <w:tcW w:w="3078" w:type="dxa"/>
          </w:tcPr>
          <w:p w14:paraId="2172971A" w14:textId="77777777" w:rsidR="00263D0D" w:rsidRPr="00F87F67" w:rsidRDefault="00263D0D" w:rsidP="00263D0D">
            <w:pPr>
              <w:rPr>
                <w:rFonts w:ascii="Gill Sans MT" w:hAnsi="Gill Sans MT"/>
              </w:rPr>
            </w:pPr>
            <w:r w:rsidRPr="00F87F67">
              <w:rPr>
                <w:rFonts w:ascii="Gill Sans MT" w:hAnsi="Gill Sans MT"/>
                <w:b/>
                <w:bCs/>
              </w:rPr>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tcPr>
          <w:p w14:paraId="52FC36F6" w14:textId="77777777" w:rsidR="00A24554" w:rsidRDefault="006D0045" w:rsidP="00FB3201">
            <w:pPr>
              <w:pStyle w:val="DHWHanging1"/>
              <w:ind w:left="0" w:firstLine="0"/>
            </w:pPr>
            <w:r>
              <w:t xml:space="preserve">Appropriate PPE shall be worn for all work with hazardous materials, in accordance with the USC </w:t>
            </w:r>
            <w:hyperlink r:id="rId24" w:history="1">
              <w:r w:rsidRPr="00057A6E">
                <w:rPr>
                  <w:rStyle w:val="Hyperlink"/>
                </w:rPr>
                <w:t>Minimum Standard</w:t>
              </w:r>
            </w:hyperlink>
            <w:r>
              <w:t xml:space="preserve">, </w:t>
            </w:r>
            <w:hyperlink r:id="rId25" w:history="1">
              <w:r w:rsidRPr="00671E98">
                <w:rPr>
                  <w:rStyle w:val="Hyperlink"/>
                </w:rPr>
                <w:t>CHP</w:t>
              </w:r>
            </w:hyperlink>
            <w:r>
              <w:t xml:space="preserve">, and </w:t>
            </w:r>
            <w:hyperlink r:id="rId26" w:history="1">
              <w:r w:rsidRPr="002A30A4">
                <w:rPr>
                  <w:rStyle w:val="Hyperlink"/>
                </w:rPr>
                <w:t>fact sheets</w:t>
              </w:r>
            </w:hyperlink>
            <w:r>
              <w:t xml:space="preserve">. </w:t>
            </w:r>
          </w:p>
          <w:p w14:paraId="38797118" w14:textId="77777777" w:rsidR="00245913" w:rsidRDefault="00FB3201" w:rsidP="00F77B69">
            <w:pPr>
              <w:pStyle w:val="DHWHanging1"/>
              <w:spacing w:after="0"/>
              <w:ind w:left="0" w:firstLine="0"/>
            </w:pPr>
            <w:r>
              <w:t xml:space="preserve">Most commonly, research lab PPE consists of a lab coat, eye protection (safety glasses; goggles required if there is a splash hazard) and chemical protective gloves. A face shield may be needed in addition to goggles for severe splash hazards. </w:t>
            </w:r>
          </w:p>
          <w:p w14:paraId="3D902686" w14:textId="7F9955B1" w:rsidR="00FB3201" w:rsidRDefault="00FB3201" w:rsidP="00FB3201">
            <w:pPr>
              <w:pStyle w:val="DHWHanging1"/>
              <w:ind w:left="0" w:firstLine="0"/>
            </w:pPr>
            <w:r>
              <w:lastRenderedPageBreak/>
              <w:t>Note that</w:t>
            </w:r>
            <w:r w:rsidRPr="002A30A4">
              <w:t xml:space="preserve"> </w:t>
            </w:r>
            <w:r>
              <w:t xml:space="preserve">for reasons of safety and regulatory compliance, respirator usage is NOT permitted outside of the </w:t>
            </w:r>
            <w:hyperlink r:id="rId27" w:history="1">
              <w:r w:rsidRPr="002A30A4">
                <w:rPr>
                  <w:rStyle w:val="Hyperlink"/>
                </w:rPr>
                <w:t>USC Respiratory Protection Program</w:t>
              </w:r>
            </w:hyperlink>
            <w:r>
              <w:t xml:space="preserve">. Refer to the </w:t>
            </w:r>
            <w:hyperlink r:id="rId28" w:history="1">
              <w:r w:rsidR="003D134F" w:rsidRPr="00057A6E">
                <w:rPr>
                  <w:rStyle w:val="Hyperlink"/>
                </w:rPr>
                <w:t>CHP</w:t>
              </w:r>
              <w:r w:rsidR="003D134F" w:rsidRPr="004200E3">
                <w:rPr>
                  <w:rStyle w:val="Hyperlink"/>
                </w:rPr>
                <w:t xml:space="preserve"> </w:t>
              </w:r>
            </w:hyperlink>
            <w:r>
              <w:t xml:space="preserve">(Section 8) and </w:t>
            </w:r>
            <w:hyperlink r:id="rId29" w:history="1">
              <w:r w:rsidRPr="00057A6E">
                <w:rPr>
                  <w:rStyle w:val="Hyperlink"/>
                </w:rPr>
                <w:t>EH&amp;S Fact Sheets</w:t>
              </w:r>
            </w:hyperlink>
            <w:r>
              <w:t xml:space="preserve"> for additional information about PPE requirements.</w:t>
            </w:r>
          </w:p>
          <w:p w14:paraId="34E9D906" w14:textId="5E22C3C9" w:rsidR="00015776" w:rsidRDefault="006D0045" w:rsidP="00AF6450">
            <w:pPr>
              <w:pStyle w:val="DHWHanging1"/>
              <w:ind w:left="0" w:firstLine="0"/>
            </w:pPr>
            <w:r>
              <w:t xml:space="preserve"> </w:t>
            </w:r>
            <w:r w:rsidR="00D25C13" w:rsidRPr="00A01A55">
              <w:rPr>
                <w:highlight w:val="yellow"/>
              </w:rPr>
              <w:t>[Add details of</w:t>
            </w:r>
            <w:r w:rsidR="00D25C13">
              <w:rPr>
                <w:highlight w:val="yellow"/>
              </w:rPr>
              <w:t xml:space="preserve"> any</w:t>
            </w:r>
            <w:r w:rsidR="00D25C13" w:rsidRPr="00A01A55">
              <w:rPr>
                <w:highlight w:val="yellow"/>
              </w:rPr>
              <w:t xml:space="preserve"> </w:t>
            </w:r>
            <w:r w:rsidR="00D25C13">
              <w:rPr>
                <w:highlight w:val="yellow"/>
              </w:rPr>
              <w:t>lab- or procedure-specific PPE rules/requirements.]</w:t>
            </w:r>
          </w:p>
        </w:tc>
      </w:tr>
      <w:tr w:rsidR="00CC34EB" w:rsidRPr="002E2B56" w14:paraId="23E21109" w14:textId="77777777" w:rsidTr="00276AB3">
        <w:tc>
          <w:tcPr>
            <w:tcW w:w="3078" w:type="dxa"/>
          </w:tcPr>
          <w:p w14:paraId="3BC79074" w14:textId="651C8E97" w:rsidR="00CC34EB" w:rsidRDefault="00CC34EB" w:rsidP="00263D0D">
            <w:pPr>
              <w:rPr>
                <w:rFonts w:ascii="Gill Sans MT" w:hAnsi="Gill Sans MT"/>
                <w:b/>
                <w:bCs/>
              </w:rPr>
            </w:pPr>
            <w:r w:rsidRPr="00F87F67">
              <w:rPr>
                <w:b/>
                <w:bCs/>
              </w:rPr>
              <w:lastRenderedPageBreak/>
              <w:t xml:space="preserve">Exposure </w:t>
            </w:r>
            <w:r>
              <w:rPr>
                <w:b/>
                <w:bCs/>
              </w:rPr>
              <w:t>C</w:t>
            </w:r>
            <w:r w:rsidRPr="00F87F67">
              <w:rPr>
                <w:b/>
                <w:bCs/>
              </w:rPr>
              <w:t>ontrol</w:t>
            </w:r>
          </w:p>
        </w:tc>
        <w:tc>
          <w:tcPr>
            <w:tcW w:w="7938" w:type="dxa"/>
          </w:tcPr>
          <w:p w14:paraId="724A5EEA" w14:textId="61BCA283" w:rsidR="00E1574A" w:rsidRDefault="00E1574A" w:rsidP="00E1574A">
            <w:pPr>
              <w:pStyle w:val="DHWHanging1"/>
              <w:ind w:left="0" w:firstLine="0"/>
            </w:pPr>
            <w:r w:rsidRPr="00DE0677">
              <w:t>Secondary containment (e.g.</w:t>
            </w:r>
            <w:r>
              <w:t>,</w:t>
            </w:r>
            <w:r w:rsidRPr="00DE0677">
              <w:t xml:space="preserve"> polypropylene trays) should be used for experiments wherever there is potential for spillage of </w:t>
            </w:r>
            <w:r w:rsidR="002D556A">
              <w:t>reproductive</w:t>
            </w:r>
            <w:r>
              <w:t xml:space="preserve"> toxicants</w:t>
            </w:r>
            <w:r w:rsidRPr="00DE0677">
              <w:t>.</w:t>
            </w:r>
          </w:p>
          <w:p w14:paraId="2A282527" w14:textId="77777777" w:rsidR="00E1574A" w:rsidRDefault="00E1574A" w:rsidP="00E1574A">
            <w:pPr>
              <w:pStyle w:val="DHWIndent1"/>
              <w:ind w:left="0"/>
            </w:pPr>
            <w:r>
              <w:t>To prevent exposure of personnel, appropriate engineering safety controls (normally a fume hood) shall be used for all work which has potential to release hazardous vapor or particulates (dust, powder, spray, or liquid/solid aerosol). Please consult the CHP for detailed information on engineering safety controls.</w:t>
            </w:r>
          </w:p>
          <w:p w14:paraId="71FD7799" w14:textId="73474B34" w:rsidR="00CC34EB" w:rsidRDefault="002D556A" w:rsidP="00C905D5">
            <w:pPr>
              <w:pStyle w:val="DHWIndent1"/>
              <w:ind w:left="0"/>
            </w:pPr>
            <w:r>
              <w:rPr>
                <w:b/>
              </w:rPr>
              <w:t>Reproductive</w:t>
            </w:r>
            <w:r w:rsidR="00E1574A">
              <w:rPr>
                <w:b/>
              </w:rPr>
              <w:t xml:space="preserve"> toxicants</w:t>
            </w:r>
            <w:r w:rsidR="00E1574A" w:rsidRPr="007A78AF">
              <w:rPr>
                <w:b/>
              </w:rPr>
              <w:t xml:space="preserve"> which are volatile or powdery shall NOT be weighed in the open lab.</w:t>
            </w:r>
            <w:r w:rsidR="00E1574A">
              <w:t xml:space="preserve"> Use a balance in a fume hood if possible. Volatile or powdery acute toxicants may only be weighed outside of a fume hood if placed inside a tared glass vial sealed with a tight-fitting cap and free of external contamination.</w:t>
            </w:r>
          </w:p>
        </w:tc>
      </w:tr>
      <w:tr w:rsidR="00DB3AFF" w:rsidRPr="002E2B56" w14:paraId="4F04FFAC" w14:textId="77777777" w:rsidTr="00276AB3">
        <w:tc>
          <w:tcPr>
            <w:tcW w:w="3078" w:type="dxa"/>
          </w:tcPr>
          <w:p w14:paraId="228073BE" w14:textId="58E72401" w:rsidR="00DB3AFF" w:rsidRPr="00F87F67" w:rsidRDefault="00DB3AFF" w:rsidP="00263D0D">
            <w:pPr>
              <w:rPr>
                <w:b/>
                <w:bCs/>
              </w:rPr>
            </w:pPr>
            <w:r w:rsidRPr="000B02DC">
              <w:rPr>
                <w:b/>
                <w:bCs/>
              </w:rPr>
              <w:t>Decontamination</w:t>
            </w:r>
          </w:p>
        </w:tc>
        <w:tc>
          <w:tcPr>
            <w:tcW w:w="7938" w:type="dxa"/>
          </w:tcPr>
          <w:p w14:paraId="0A9DC55C" w14:textId="12B35364" w:rsidR="00911D51" w:rsidRDefault="000A3C27" w:rsidP="00911D51">
            <w:pPr>
              <w:pStyle w:val="DHWHanging1"/>
              <w:ind w:left="0" w:firstLine="0"/>
            </w:pPr>
            <w:r>
              <w:t>Clean and decontaminate a</w:t>
            </w:r>
            <w:r w:rsidR="00911D51">
              <w:t>ll work areas and equipment after use.</w:t>
            </w:r>
          </w:p>
          <w:p w14:paraId="3C3491A4" w14:textId="77777777" w:rsidR="00235C01" w:rsidRPr="00D14423" w:rsidRDefault="00235C01" w:rsidP="00235C01">
            <w:pPr>
              <w:pStyle w:val="DHWIndent1"/>
              <w:ind w:left="0"/>
            </w:pPr>
            <w:r>
              <w:t>Potentially contaminated PPE shall be removed before entering clean areas. Hands shall be washed before entering clean areas and after completion of work.</w:t>
            </w:r>
          </w:p>
          <w:p w14:paraId="34E4F7D9" w14:textId="22AB8B58" w:rsidR="00DB3AFF" w:rsidRPr="00DE0677" w:rsidRDefault="00911D51" w:rsidP="00911D51">
            <w:pPr>
              <w:pStyle w:val="DHWIndent1"/>
              <w:ind w:left="0"/>
            </w:pPr>
            <w:r w:rsidRPr="00A01A55">
              <w:rPr>
                <w:highlight w:val="yellow"/>
              </w:rPr>
              <w:t>[</w:t>
            </w:r>
            <w:r>
              <w:rPr>
                <w:highlight w:val="yellow"/>
              </w:rPr>
              <w:t xml:space="preserve">Add details of </w:t>
            </w:r>
            <w:r w:rsidRPr="00A01A55">
              <w:rPr>
                <w:highlight w:val="yellow"/>
              </w:rPr>
              <w:t xml:space="preserve">specific </w:t>
            </w:r>
            <w:r>
              <w:rPr>
                <w:highlight w:val="yellow"/>
              </w:rPr>
              <w:t>decontamination/cleaning procedures, if needed.]</w:t>
            </w:r>
          </w:p>
        </w:tc>
      </w:tr>
      <w:tr w:rsidR="00DB3AFF" w:rsidRPr="002E2B56" w14:paraId="2D555996" w14:textId="77777777" w:rsidTr="00276AB3">
        <w:tc>
          <w:tcPr>
            <w:tcW w:w="3078" w:type="dxa"/>
          </w:tcPr>
          <w:p w14:paraId="2AA3641C" w14:textId="6E1C1113" w:rsidR="00DB3AFF" w:rsidRPr="00F87F67" w:rsidRDefault="00911D51" w:rsidP="00263D0D">
            <w:pPr>
              <w:rPr>
                <w:b/>
                <w:bCs/>
              </w:rPr>
            </w:pPr>
            <w:r w:rsidRPr="00F87F67">
              <w:rPr>
                <w:b/>
                <w:bCs/>
              </w:rPr>
              <w:t>Work Practices</w:t>
            </w:r>
          </w:p>
        </w:tc>
        <w:tc>
          <w:tcPr>
            <w:tcW w:w="7938" w:type="dxa"/>
          </w:tcPr>
          <w:p w14:paraId="09B314D5" w14:textId="77777777" w:rsidR="00806B41" w:rsidRDefault="00806B41" w:rsidP="00806B41">
            <w:pPr>
              <w:pStyle w:val="DHWHanging1"/>
              <w:ind w:left="0" w:firstLine="0"/>
            </w:pPr>
            <w:r>
              <w:t>Purchasing, working and storage quantities of reproductive toxicants should be kept as small as practicable. It is recommended to purchase the lowest concentration of reproductive toxicants needed for the research. Any unused materials should be stored safely, or immediately and appropriately disposed as hazardous chemical waste.</w:t>
            </w:r>
          </w:p>
          <w:p w14:paraId="3632E122" w14:textId="77777777" w:rsidR="00806B41" w:rsidRDefault="00806B41" w:rsidP="00806B41">
            <w:pPr>
              <w:pStyle w:val="DHWIndent1"/>
              <w:ind w:left="0"/>
            </w:pPr>
            <w:r>
              <w:t xml:space="preserve">Reproductive toxicants are considered </w:t>
            </w:r>
            <w:r>
              <w:rPr>
                <w:i/>
              </w:rPr>
              <w:t>Particularly Hazardous Substances</w:t>
            </w:r>
            <w:r>
              <w:t xml:space="preserve"> (PHS) by Cal-OSHA (</w:t>
            </w:r>
            <w:hyperlink r:id="rId30" w:history="1">
              <w:r>
                <w:rPr>
                  <w:rStyle w:val="Hyperlink"/>
                </w:rPr>
                <w:t>8 CCR §5191 (e) (H)</w:t>
              </w:r>
            </w:hyperlink>
            <w:r>
              <w:t>). PHS must be handled with special care, please refer to CHP Section 8 for guidance.</w:t>
            </w:r>
          </w:p>
          <w:p w14:paraId="594453F2" w14:textId="6E72513C" w:rsidR="00DB3AFF" w:rsidRPr="00DE0677" w:rsidRDefault="00FD4C8A" w:rsidP="00806B41">
            <w:pPr>
              <w:pStyle w:val="DHWHanging1"/>
              <w:ind w:left="0" w:firstLine="0"/>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tc>
      </w:tr>
      <w:tr w:rsidR="00F1650A" w:rsidRPr="002E2B56" w14:paraId="2D6A2533" w14:textId="77777777" w:rsidTr="00276AB3">
        <w:tc>
          <w:tcPr>
            <w:tcW w:w="3078" w:type="dxa"/>
          </w:tcPr>
          <w:p w14:paraId="1948F804" w14:textId="50926BEC" w:rsidR="00F1650A" w:rsidRPr="00F87F67" w:rsidRDefault="00F1650A" w:rsidP="00263D0D">
            <w:pPr>
              <w:rPr>
                <w:b/>
                <w:bCs/>
              </w:rPr>
            </w:pPr>
            <w:r w:rsidRPr="00F87F67">
              <w:rPr>
                <w:b/>
                <w:bCs/>
              </w:rPr>
              <w:t>Experimental Procedures</w:t>
            </w:r>
          </w:p>
        </w:tc>
        <w:tc>
          <w:tcPr>
            <w:tcW w:w="7938" w:type="dxa"/>
          </w:tcPr>
          <w:p w14:paraId="1F5F7DCF" w14:textId="38B05E34" w:rsidR="00F1650A" w:rsidRDefault="00F1650A" w:rsidP="00FD4C8A">
            <w:pPr>
              <w:pStyle w:val="DHWHanging1"/>
              <w:ind w:left="0" w:firstLine="0"/>
            </w:pP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tc>
      </w:tr>
      <w:tr w:rsidR="00F1650A" w:rsidRPr="002E2B56" w14:paraId="74B476C4" w14:textId="77777777" w:rsidTr="00276AB3">
        <w:tc>
          <w:tcPr>
            <w:tcW w:w="3078" w:type="dxa"/>
          </w:tcPr>
          <w:p w14:paraId="1C28C583" w14:textId="72D6591B" w:rsidR="00F1650A" w:rsidRPr="00F87F67" w:rsidRDefault="00214866" w:rsidP="00263D0D">
            <w:pPr>
              <w:rPr>
                <w:b/>
                <w:bCs/>
              </w:rPr>
            </w:pPr>
            <w:r w:rsidRPr="00F87F67">
              <w:rPr>
                <w:b/>
                <w:bCs/>
              </w:rPr>
              <w:lastRenderedPageBreak/>
              <w:t xml:space="preserve">Waste </w:t>
            </w:r>
            <w:r>
              <w:rPr>
                <w:b/>
                <w:bCs/>
              </w:rPr>
              <w:t>D</w:t>
            </w:r>
            <w:r w:rsidRPr="00F87F67">
              <w:rPr>
                <w:b/>
                <w:bCs/>
              </w:rPr>
              <w:t>isposal</w:t>
            </w:r>
          </w:p>
        </w:tc>
        <w:tc>
          <w:tcPr>
            <w:tcW w:w="7938" w:type="dxa"/>
          </w:tcPr>
          <w:p w14:paraId="2725B05B" w14:textId="4C07F47D" w:rsidR="00D463C6" w:rsidRDefault="000B4229" w:rsidP="00D463C6">
            <w:pPr>
              <w:pStyle w:val="DHWHanging1"/>
              <w:ind w:left="0" w:firstLine="0"/>
            </w:pPr>
            <w:r>
              <w:t xml:space="preserve">Contaminated materials shall be disposed as hazardous chemical waste. </w:t>
            </w:r>
            <w:r w:rsidR="00AD5678">
              <w:t>F</w:t>
            </w:r>
            <w:r w:rsidR="00D463C6">
              <w:t>ollow all EH&amp;S directions (</w:t>
            </w:r>
            <w:hyperlink r:id="rId31" w:history="1">
              <w:r w:rsidR="00D463C6" w:rsidRPr="00777640">
                <w:rPr>
                  <w:rStyle w:val="Hyperlink"/>
                </w:rPr>
                <w:t>hazmat webpages</w:t>
              </w:r>
            </w:hyperlink>
            <w:r w:rsidR="00D463C6">
              <w:t xml:space="preserve">, </w:t>
            </w:r>
            <w:hyperlink r:id="rId32" w:history="1">
              <w:r w:rsidR="00D463C6" w:rsidRPr="003546A6">
                <w:rPr>
                  <w:rStyle w:val="Hyperlink"/>
                </w:rPr>
                <w:t>fact sheets</w:t>
              </w:r>
            </w:hyperlink>
            <w:r w:rsidR="00D463C6">
              <w:t xml:space="preserve">, </w:t>
            </w:r>
            <w:hyperlink r:id="rId33" w:history="1">
              <w:r w:rsidR="00D463C6" w:rsidRPr="00057A6E">
                <w:rPr>
                  <w:rStyle w:val="Hyperlink"/>
                </w:rPr>
                <w:t>CHP</w:t>
              </w:r>
            </w:hyperlink>
            <w:r w:rsidR="00D463C6">
              <w:t>)</w:t>
            </w:r>
            <w:r w:rsidR="006822AF">
              <w:t xml:space="preserve"> when</w:t>
            </w:r>
            <w:r w:rsidR="00D463C6">
              <w:t xml:space="preserve"> </w:t>
            </w:r>
            <w:r w:rsidR="006822AF">
              <w:t xml:space="preserve">disposing of hazardous chemical waste. </w:t>
            </w:r>
            <w:r w:rsidR="00AD5678">
              <w:t>E</w:t>
            </w:r>
            <w:r w:rsidR="00D463C6">
              <w:t xml:space="preserve">mail </w:t>
            </w:r>
            <w:hyperlink r:id="rId34" w:history="1">
              <w:r w:rsidR="00D463C6" w:rsidRPr="00230793">
                <w:rPr>
                  <w:rStyle w:val="Hyperlink"/>
                </w:rPr>
                <w:t>hazmat@usc.edu</w:t>
              </w:r>
            </w:hyperlink>
            <w:r w:rsidR="00D463C6">
              <w:t xml:space="preserve"> if you have questions that are not answered by EH&amp;S online resources.</w:t>
            </w:r>
          </w:p>
          <w:p w14:paraId="632DF247" w14:textId="0865AA7F" w:rsidR="00F1650A" w:rsidRDefault="00D463C6" w:rsidP="00D463C6">
            <w:pPr>
              <w:pStyle w:val="DHWIndent1"/>
              <w:ind w:left="0"/>
            </w:pPr>
            <w:r w:rsidRPr="00A01A55">
              <w:rPr>
                <w:highlight w:val="yellow"/>
              </w:rPr>
              <w:t xml:space="preserve">[Add details of </w:t>
            </w:r>
            <w:r>
              <w:rPr>
                <w:highlight w:val="yellow"/>
              </w:rPr>
              <w:t>any lab-specific waste disposal rules.</w:t>
            </w:r>
            <w:r w:rsidRPr="00A01A55">
              <w:rPr>
                <w:highlight w:val="yellow"/>
              </w:rPr>
              <w:t>]</w:t>
            </w:r>
          </w:p>
        </w:tc>
      </w:tr>
      <w:tr w:rsidR="00D463C6" w:rsidRPr="002E2B56" w14:paraId="72CA8A9C" w14:textId="77777777" w:rsidTr="00A24554">
        <w:trPr>
          <w:trHeight w:val="5495"/>
        </w:trPr>
        <w:tc>
          <w:tcPr>
            <w:tcW w:w="3078" w:type="dxa"/>
          </w:tcPr>
          <w:p w14:paraId="61EFE90B" w14:textId="3D99454E" w:rsidR="00D463C6" w:rsidRPr="00F87F67" w:rsidRDefault="00D463C6" w:rsidP="00263D0D">
            <w:pPr>
              <w:rPr>
                <w:b/>
                <w:bCs/>
              </w:rPr>
            </w:pPr>
            <w:r w:rsidRPr="00F87F67">
              <w:rPr>
                <w:b/>
                <w:bCs/>
              </w:rPr>
              <w:t xml:space="preserve">Spill </w:t>
            </w:r>
            <w:r>
              <w:rPr>
                <w:b/>
                <w:bCs/>
              </w:rPr>
              <w:t>R</w:t>
            </w:r>
            <w:r w:rsidRPr="00F87F67">
              <w:rPr>
                <w:b/>
                <w:bCs/>
              </w:rPr>
              <w:t>esponse</w:t>
            </w:r>
          </w:p>
        </w:tc>
        <w:tc>
          <w:tcPr>
            <w:tcW w:w="7938" w:type="dxa"/>
          </w:tcPr>
          <w:p w14:paraId="7472FCA3" w14:textId="47D5ED80" w:rsidR="009B6F84" w:rsidRPr="000813B9" w:rsidRDefault="009B6F84" w:rsidP="009B6F84">
            <w:pPr>
              <w:pStyle w:val="DHWHanging1"/>
              <w:ind w:left="0" w:firstLine="0"/>
            </w:pPr>
            <w:r>
              <w:t xml:space="preserve">Chemical spill clean-up shall not be attempted if lab personnel do not have proper training and experience, necessary spill kit supplies, and/or appropriate personal protective equipment. </w:t>
            </w:r>
            <w:r>
              <w:rPr>
                <w:b/>
                <w:bCs/>
              </w:rPr>
              <w:t xml:space="preserve">Before starting work, review the </w:t>
            </w:r>
            <w:hyperlink r:id="rId35" w:history="1">
              <w:r w:rsidRPr="000813B9">
                <w:rPr>
                  <w:rStyle w:val="Hyperlink"/>
                  <w:b/>
                  <w:bCs/>
                  <w:iCs/>
                  <w:szCs w:val="28"/>
                </w:rPr>
                <w:t>Spill Response and Clean-Up</w:t>
              </w:r>
            </w:hyperlink>
            <w:r>
              <w:rPr>
                <w:b/>
                <w:bCs/>
              </w:rPr>
              <w:t xml:space="preserve"> web page and Section 10 of the </w:t>
            </w:r>
            <w:hyperlink r:id="rId36"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0A7E1461" w14:textId="2787C10D" w:rsidR="009B401A" w:rsidRDefault="000535F2" w:rsidP="00583551">
            <w:pPr>
              <w:pStyle w:val="DHWIndent1"/>
              <w:ind w:left="0"/>
              <w:rPr>
                <w:color w:val="000000"/>
              </w:rPr>
            </w:pPr>
            <w:r>
              <w:t xml:space="preserve">Refer to the EH&amp;S </w:t>
            </w:r>
            <w:hyperlink r:id="rId37"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64FAB54B" w14:textId="77777777" w:rsidR="00D463C6" w:rsidRDefault="009B6F84" w:rsidP="009B6F84">
            <w:pPr>
              <w:pStyle w:val="DHWIndent1"/>
              <w:ind w:left="0"/>
            </w:pPr>
            <w:r w:rsidRPr="006C1AEC">
              <w:rPr>
                <w:b/>
                <w:color w:val="FF0000"/>
              </w:rPr>
              <w:t>Call DPS for all spills, even if they get cleaned up by lab personnel.</w:t>
            </w:r>
            <w:r w:rsidRPr="006C1AEC">
              <w:rPr>
                <w:b/>
              </w:rPr>
              <w:t xml:space="preserve"> </w:t>
            </w:r>
            <w:r w:rsidRPr="006C1AEC">
              <w:t xml:space="preserve">DPS </w:t>
            </w:r>
            <w:r>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14:paraId="4BCC2C41" w14:textId="7C92F544" w:rsidR="009B6F84" w:rsidRDefault="00CE7588" w:rsidP="00C172A9">
            <w:pPr>
              <w:pStyle w:val="DHWIndent1"/>
              <w:ind w:left="0"/>
            </w:pPr>
            <w:r w:rsidRPr="00914C40">
              <w:rPr>
                <w:b/>
                <w:bCs/>
                <w:color w:val="FF0000"/>
              </w:rPr>
              <w:t>Major spills outside a fume hood</w:t>
            </w:r>
            <w:r w:rsidR="00914C40">
              <w:rPr>
                <w:b/>
                <w:bCs/>
                <w:color w:val="FF0000"/>
              </w:rPr>
              <w:t xml:space="preserve"> </w:t>
            </w:r>
            <w:r w:rsidR="00914C40" w:rsidRPr="001E2662">
              <w:rPr>
                <w:b/>
                <w:color w:val="FF0000"/>
              </w:rPr>
              <w:t>SHALL NOT be cleaned by lab personnel. Evacuate the area, restrict access, call DPS.</w:t>
            </w:r>
            <w:r w:rsidR="005459C5">
              <w:t xml:space="preserve"> </w:t>
            </w:r>
          </w:p>
        </w:tc>
      </w:tr>
      <w:tr w:rsidR="00D352C2" w:rsidRPr="002E2B56" w14:paraId="56E32B21" w14:textId="77777777" w:rsidTr="00276AB3">
        <w:tc>
          <w:tcPr>
            <w:tcW w:w="3078" w:type="dxa"/>
          </w:tcPr>
          <w:p w14:paraId="582D2F68" w14:textId="7BDB82FA" w:rsidR="00D352C2" w:rsidRPr="001804E0" w:rsidRDefault="00D352C2" w:rsidP="00263D0D">
            <w:pPr>
              <w:rPr>
                <w:b/>
                <w:bCs/>
              </w:rPr>
            </w:pPr>
            <w:r w:rsidRPr="00090FE2">
              <w:rPr>
                <w:b/>
                <w:bCs/>
              </w:rPr>
              <w:t xml:space="preserve">Emergency </w:t>
            </w:r>
            <w:r>
              <w:rPr>
                <w:b/>
                <w:bCs/>
              </w:rPr>
              <w:t>R</w:t>
            </w:r>
            <w:r w:rsidRPr="00090FE2">
              <w:rPr>
                <w:b/>
                <w:bCs/>
              </w:rPr>
              <w:t>esponse</w:t>
            </w:r>
          </w:p>
        </w:tc>
        <w:tc>
          <w:tcPr>
            <w:tcW w:w="7938" w:type="dxa"/>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38"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39"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40"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58808E62" w14:textId="7ED330A4" w:rsidR="00D352C2" w:rsidRPr="00D352C2" w:rsidRDefault="00D352C2" w:rsidP="008A5C30">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rota. </w:t>
            </w:r>
            <w:r w:rsidRPr="004C3453">
              <w:rPr>
                <w:rFonts w:ascii="Gill Sans MT" w:hAnsi="Gill Sans MT"/>
                <w:b/>
                <w:bCs/>
                <w:color w:val="FF0000"/>
              </w:rPr>
              <w:t>Do NOT call the EH&amp;S general phone line or individual EH&amp;S personnel in an emergency as access is not guaranteed.</w:t>
            </w:r>
          </w:p>
        </w:tc>
      </w:tr>
    </w:tbl>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41" w:history="1">
        <w:r w:rsidRPr="003116F5">
          <w:rPr>
            <w:rStyle w:val="Hyperlink"/>
            <w:b/>
          </w:rPr>
          <w:t>1-2-3 poster</w:t>
        </w:r>
      </w:hyperlink>
      <w:r>
        <w:t xml:space="preserve">”, </w:t>
      </w:r>
      <w:hyperlink r:id="rId42"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43"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(e.g.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Signature of trainer confirming the above named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44"/>
      <w:footerReference w:type="default" r:id="rId45"/>
      <w:headerReference w:type="first" r:id="rId46"/>
      <w:footerReference w:type="first" r:id="rId47"/>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2E15" w14:textId="77777777" w:rsidR="00B55DF7" w:rsidRDefault="00B55DF7">
      <w:r>
        <w:separator/>
      </w:r>
    </w:p>
  </w:endnote>
  <w:endnote w:type="continuationSeparator" w:id="0">
    <w:p w14:paraId="3470860C" w14:textId="77777777" w:rsidR="00B55DF7" w:rsidRDefault="00B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25A700E4" w14:textId="77777777"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p>
        <w:p w14:paraId="50563A91" w14:textId="45F5E7D2" w:rsidR="00C94858" w:rsidRPr="00601AFA" w:rsidRDefault="00C609A0" w:rsidP="00EC3E6D">
          <w:pPr>
            <w:pStyle w:val="Footer"/>
            <w:tabs>
              <w:tab w:val="clear" w:pos="8640"/>
            </w:tabs>
            <w:ind w:right="-720"/>
            <w:rPr>
              <w:rFonts w:ascii="National Regular" w:hAnsi="National Regular"/>
              <w:sz w:val="18"/>
            </w:rPr>
          </w:pPr>
          <w:r>
            <w:rPr>
              <w:rFonts w:ascii="National Regular" w:hAnsi="National Regular"/>
              <w:sz w:val="18"/>
            </w:rPr>
            <w:t>Reproductive</w:t>
          </w:r>
          <w:r w:rsidR="00332B7A">
            <w:rPr>
              <w:rFonts w:ascii="National Regular" w:hAnsi="National Regular"/>
              <w:sz w:val="18"/>
            </w:rPr>
            <w:t xml:space="preserve"> Toxicants</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B55DF7"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6156A843"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C609A0">
            <w:rPr>
              <w:rFonts w:ascii="National Regular" w:hAnsi="National Regular"/>
              <w:sz w:val="18"/>
            </w:rPr>
            <w:t>4</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BB1A"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Year" w:val="2004"/>
        <w:attr w:name="Day" w:val="26"/>
        <w:attr w:name="Month" w:val="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D987" w14:textId="77777777" w:rsidR="00B55DF7" w:rsidRDefault="00B55DF7">
      <w:r>
        <w:separator/>
      </w:r>
    </w:p>
  </w:footnote>
  <w:footnote w:type="continuationSeparator" w:id="0">
    <w:p w14:paraId="6BBB9E57" w14:textId="77777777" w:rsidR="00B55DF7" w:rsidRDefault="00B55DF7">
      <w:r>
        <w:continuationSeparator/>
      </w:r>
    </w:p>
  </w:footnote>
  <w:footnote w:id="1">
    <w:p w14:paraId="770DB6D6" w14:textId="77777777" w:rsidR="002E2B56" w:rsidRDefault="002E2B56" w:rsidP="00B21323">
      <w:pPr>
        <w:pStyle w:val="FootnoteText"/>
      </w:pPr>
      <w:r>
        <w:rPr>
          <w:rStyle w:val="FootnoteReference"/>
        </w:rPr>
        <w:footnoteRef/>
      </w:r>
      <w:r>
        <w:t xml:space="preserve"> Section 6 for identification and Section 8 for safe working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5965A4C3" w:rsidR="00601AFA" w:rsidRPr="00601AFA" w:rsidRDefault="00497C5A" w:rsidP="00C609A0">
          <w:pPr>
            <w:ind w:right="157"/>
            <w:rPr>
              <w:rFonts w:ascii="Adobe Caslon Pro" w:hAnsi="Adobe Caslon Pro" w:cs="Adobe Caslon Pro"/>
              <w:smallCaps/>
              <w:color w:val="FFFFFF" w:themeColor="background1"/>
              <w:sz w:val="40"/>
              <w:szCs w:val="32"/>
            </w:rPr>
          </w:pPr>
          <w:r w:rsidRPr="00C609A0">
            <w:rPr>
              <w:rFonts w:cs="Adobe Caslon Pro"/>
              <w:b/>
              <w:smallCaps/>
              <w:color w:val="FFFFFF" w:themeColor="background1"/>
              <w:sz w:val="30"/>
              <w:szCs w:val="30"/>
            </w:rPr>
            <w:t>Haz</w:t>
          </w:r>
          <w:r w:rsidR="00A15F09" w:rsidRPr="00C609A0">
            <w:rPr>
              <w:rFonts w:cs="Adobe Caslon Pro"/>
              <w:b/>
              <w:smallCaps/>
              <w:color w:val="FFFFFF" w:themeColor="background1"/>
              <w:sz w:val="30"/>
              <w:szCs w:val="30"/>
            </w:rPr>
            <w:t xml:space="preserve">ardous </w:t>
          </w:r>
          <w:r w:rsidRPr="00C609A0">
            <w:rPr>
              <w:rFonts w:cs="Adobe Caslon Pro"/>
              <w:b/>
              <w:smallCaps/>
              <w:color w:val="FFFFFF" w:themeColor="background1"/>
              <w:sz w:val="30"/>
              <w:szCs w:val="30"/>
            </w:rPr>
            <w:t>Mat</w:t>
          </w:r>
          <w:r w:rsidR="00A15F09" w:rsidRPr="00C609A0">
            <w:rPr>
              <w:rFonts w:cs="Adobe Caslon Pro"/>
              <w:b/>
              <w:smallCaps/>
              <w:color w:val="FFFFFF" w:themeColor="background1"/>
              <w:sz w:val="30"/>
              <w:szCs w:val="30"/>
            </w:rPr>
            <w:t>erials</w:t>
          </w:r>
          <w:r w:rsidRPr="00C609A0">
            <w:rPr>
              <w:rFonts w:cs="Adobe Caslon Pro"/>
              <w:b/>
              <w:smallCaps/>
              <w:color w:val="FFFFFF" w:themeColor="background1"/>
              <w:sz w:val="30"/>
              <w:szCs w:val="30"/>
            </w:rPr>
            <w:t xml:space="preserve"> SOP Template:</w:t>
          </w:r>
          <w:r w:rsidRPr="00D20382">
            <w:rPr>
              <w:rFonts w:cs="Adobe Caslon Pro"/>
              <w:b/>
              <w:smallCaps/>
              <w:color w:val="FFFFFF" w:themeColor="background1"/>
              <w:sz w:val="32"/>
            </w:rPr>
            <w:t xml:space="preserve"> </w:t>
          </w:r>
          <w:r w:rsidR="00C609A0">
            <w:rPr>
              <w:rFonts w:cs="Adobe Caslon Pro"/>
              <w:b/>
              <w:i/>
              <w:iCs/>
              <w:smallCaps/>
              <w:color w:val="FFFFFF" w:themeColor="background1"/>
              <w:sz w:val="36"/>
              <w:szCs w:val="28"/>
            </w:rPr>
            <w:t>Reproductive</w:t>
          </w:r>
          <w:r w:rsidR="00332B7A">
            <w:rPr>
              <w:rFonts w:cs="Adobe Caslon Pro"/>
              <w:b/>
              <w:i/>
              <w:iCs/>
              <w:smallCaps/>
              <w:color w:val="FFFFFF" w:themeColor="background1"/>
              <w:sz w:val="36"/>
              <w:szCs w:val="28"/>
            </w:rPr>
            <w:t xml:space="preserve"> Toxicants</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4213"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3"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5"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8"/>
  </w:num>
  <w:num w:numId="8">
    <w:abstractNumId w:val="6"/>
  </w:num>
  <w:num w:numId="9">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2236"/>
    <w:rsid w:val="00004A29"/>
    <w:rsid w:val="00004A3D"/>
    <w:rsid w:val="00007696"/>
    <w:rsid w:val="00015776"/>
    <w:rsid w:val="00015B56"/>
    <w:rsid w:val="00017C3F"/>
    <w:rsid w:val="00043158"/>
    <w:rsid w:val="00043CD4"/>
    <w:rsid w:val="000535F2"/>
    <w:rsid w:val="00061333"/>
    <w:rsid w:val="000628C6"/>
    <w:rsid w:val="000661D5"/>
    <w:rsid w:val="00066C8A"/>
    <w:rsid w:val="000725FA"/>
    <w:rsid w:val="000730FE"/>
    <w:rsid w:val="00074F9F"/>
    <w:rsid w:val="00077853"/>
    <w:rsid w:val="00085A58"/>
    <w:rsid w:val="0008618C"/>
    <w:rsid w:val="00090FE2"/>
    <w:rsid w:val="0009677A"/>
    <w:rsid w:val="000A3C27"/>
    <w:rsid w:val="000A6A54"/>
    <w:rsid w:val="000B02DC"/>
    <w:rsid w:val="000B4229"/>
    <w:rsid w:val="000B50A9"/>
    <w:rsid w:val="000C07D3"/>
    <w:rsid w:val="000C7AF4"/>
    <w:rsid w:val="000C7C09"/>
    <w:rsid w:val="000C7CE2"/>
    <w:rsid w:val="000D5DEF"/>
    <w:rsid w:val="000D76AF"/>
    <w:rsid w:val="000E58AA"/>
    <w:rsid w:val="000F5F9F"/>
    <w:rsid w:val="000F6029"/>
    <w:rsid w:val="000F6F37"/>
    <w:rsid w:val="00105A30"/>
    <w:rsid w:val="0011223A"/>
    <w:rsid w:val="00113317"/>
    <w:rsid w:val="00122F30"/>
    <w:rsid w:val="00123EA7"/>
    <w:rsid w:val="00131259"/>
    <w:rsid w:val="001410CD"/>
    <w:rsid w:val="00151919"/>
    <w:rsid w:val="00152C7A"/>
    <w:rsid w:val="00155EE5"/>
    <w:rsid w:val="00156E41"/>
    <w:rsid w:val="00156E48"/>
    <w:rsid w:val="00157596"/>
    <w:rsid w:val="00157913"/>
    <w:rsid w:val="00161372"/>
    <w:rsid w:val="00164C02"/>
    <w:rsid w:val="00170F33"/>
    <w:rsid w:val="001767F3"/>
    <w:rsid w:val="001804E0"/>
    <w:rsid w:val="001830F3"/>
    <w:rsid w:val="0018403D"/>
    <w:rsid w:val="001865CA"/>
    <w:rsid w:val="00191CCE"/>
    <w:rsid w:val="001934D1"/>
    <w:rsid w:val="001947F1"/>
    <w:rsid w:val="001A716B"/>
    <w:rsid w:val="001A73F0"/>
    <w:rsid w:val="001A7E91"/>
    <w:rsid w:val="001B38CD"/>
    <w:rsid w:val="001B6507"/>
    <w:rsid w:val="001C0D23"/>
    <w:rsid w:val="001C5AAB"/>
    <w:rsid w:val="001C6600"/>
    <w:rsid w:val="001D567E"/>
    <w:rsid w:val="001E1A3F"/>
    <w:rsid w:val="001E4A1C"/>
    <w:rsid w:val="001E6F7F"/>
    <w:rsid w:val="001F1D72"/>
    <w:rsid w:val="00201225"/>
    <w:rsid w:val="002020BB"/>
    <w:rsid w:val="002122DC"/>
    <w:rsid w:val="00214866"/>
    <w:rsid w:val="002210A4"/>
    <w:rsid w:val="00221EF8"/>
    <w:rsid w:val="00224B0A"/>
    <w:rsid w:val="00234A6A"/>
    <w:rsid w:val="00235C01"/>
    <w:rsid w:val="0023779C"/>
    <w:rsid w:val="00237BBB"/>
    <w:rsid w:val="00237D60"/>
    <w:rsid w:val="00237E25"/>
    <w:rsid w:val="00237ED1"/>
    <w:rsid w:val="00240BC9"/>
    <w:rsid w:val="00241E80"/>
    <w:rsid w:val="00245913"/>
    <w:rsid w:val="00247A6F"/>
    <w:rsid w:val="002544AA"/>
    <w:rsid w:val="00254832"/>
    <w:rsid w:val="002564D0"/>
    <w:rsid w:val="00263D0D"/>
    <w:rsid w:val="00276AB3"/>
    <w:rsid w:val="00277E24"/>
    <w:rsid w:val="00283064"/>
    <w:rsid w:val="002830E6"/>
    <w:rsid w:val="002832F1"/>
    <w:rsid w:val="00285E90"/>
    <w:rsid w:val="002A6968"/>
    <w:rsid w:val="002B2CD9"/>
    <w:rsid w:val="002B3AFC"/>
    <w:rsid w:val="002B41C5"/>
    <w:rsid w:val="002B6077"/>
    <w:rsid w:val="002C3F89"/>
    <w:rsid w:val="002C46FC"/>
    <w:rsid w:val="002D556A"/>
    <w:rsid w:val="002E2B56"/>
    <w:rsid w:val="002E3E48"/>
    <w:rsid w:val="002E6228"/>
    <w:rsid w:val="002F152C"/>
    <w:rsid w:val="002F4CAB"/>
    <w:rsid w:val="003009EF"/>
    <w:rsid w:val="00332020"/>
    <w:rsid w:val="00332B7A"/>
    <w:rsid w:val="00333AB4"/>
    <w:rsid w:val="003400F1"/>
    <w:rsid w:val="003464C0"/>
    <w:rsid w:val="003501B3"/>
    <w:rsid w:val="00355E3F"/>
    <w:rsid w:val="00360B4E"/>
    <w:rsid w:val="0036494F"/>
    <w:rsid w:val="00375312"/>
    <w:rsid w:val="00381CD5"/>
    <w:rsid w:val="00394027"/>
    <w:rsid w:val="00394EC6"/>
    <w:rsid w:val="003A70D6"/>
    <w:rsid w:val="003B54C7"/>
    <w:rsid w:val="003B6FF9"/>
    <w:rsid w:val="003B7C9E"/>
    <w:rsid w:val="003C1676"/>
    <w:rsid w:val="003C484F"/>
    <w:rsid w:val="003C7CC3"/>
    <w:rsid w:val="003D134F"/>
    <w:rsid w:val="003E064A"/>
    <w:rsid w:val="003E49C9"/>
    <w:rsid w:val="003E7155"/>
    <w:rsid w:val="003F2991"/>
    <w:rsid w:val="003F5301"/>
    <w:rsid w:val="003F7428"/>
    <w:rsid w:val="004002A4"/>
    <w:rsid w:val="0040059A"/>
    <w:rsid w:val="0040391D"/>
    <w:rsid w:val="00407CDB"/>
    <w:rsid w:val="00413D92"/>
    <w:rsid w:val="00416712"/>
    <w:rsid w:val="00417710"/>
    <w:rsid w:val="00417E48"/>
    <w:rsid w:val="00417FA5"/>
    <w:rsid w:val="0042033F"/>
    <w:rsid w:val="004211D9"/>
    <w:rsid w:val="0043040E"/>
    <w:rsid w:val="00434025"/>
    <w:rsid w:val="00435B10"/>
    <w:rsid w:val="00441852"/>
    <w:rsid w:val="004418DB"/>
    <w:rsid w:val="00441DF8"/>
    <w:rsid w:val="00451115"/>
    <w:rsid w:val="004521AC"/>
    <w:rsid w:val="00452A33"/>
    <w:rsid w:val="00452DC6"/>
    <w:rsid w:val="00460B58"/>
    <w:rsid w:val="00461156"/>
    <w:rsid w:val="0046514E"/>
    <w:rsid w:val="0046557D"/>
    <w:rsid w:val="00465E64"/>
    <w:rsid w:val="00482484"/>
    <w:rsid w:val="00485FAA"/>
    <w:rsid w:val="00497C5A"/>
    <w:rsid w:val="004A08B2"/>
    <w:rsid w:val="004C3453"/>
    <w:rsid w:val="004C563B"/>
    <w:rsid w:val="004C593C"/>
    <w:rsid w:val="004C689F"/>
    <w:rsid w:val="004D396E"/>
    <w:rsid w:val="004D750B"/>
    <w:rsid w:val="004E2B2F"/>
    <w:rsid w:val="004E33AF"/>
    <w:rsid w:val="004E7AD4"/>
    <w:rsid w:val="004F47E2"/>
    <w:rsid w:val="004F53CF"/>
    <w:rsid w:val="00503058"/>
    <w:rsid w:val="00513D8F"/>
    <w:rsid w:val="00521965"/>
    <w:rsid w:val="00533BC4"/>
    <w:rsid w:val="005346C1"/>
    <w:rsid w:val="0054203C"/>
    <w:rsid w:val="005442DC"/>
    <w:rsid w:val="00545441"/>
    <w:rsid w:val="005459C5"/>
    <w:rsid w:val="00554C78"/>
    <w:rsid w:val="00565DD2"/>
    <w:rsid w:val="005714A2"/>
    <w:rsid w:val="00575560"/>
    <w:rsid w:val="005768D8"/>
    <w:rsid w:val="00580225"/>
    <w:rsid w:val="00581081"/>
    <w:rsid w:val="005815F3"/>
    <w:rsid w:val="00583551"/>
    <w:rsid w:val="00584136"/>
    <w:rsid w:val="00584A56"/>
    <w:rsid w:val="005866BB"/>
    <w:rsid w:val="00591C70"/>
    <w:rsid w:val="00591D4B"/>
    <w:rsid w:val="00594761"/>
    <w:rsid w:val="005962AA"/>
    <w:rsid w:val="005A3BA4"/>
    <w:rsid w:val="005A4456"/>
    <w:rsid w:val="005B602F"/>
    <w:rsid w:val="005B6DBA"/>
    <w:rsid w:val="005D06BC"/>
    <w:rsid w:val="005D3F00"/>
    <w:rsid w:val="005E7C6D"/>
    <w:rsid w:val="005F1CD0"/>
    <w:rsid w:val="005F2D18"/>
    <w:rsid w:val="005F5EDF"/>
    <w:rsid w:val="005F66EA"/>
    <w:rsid w:val="005F7184"/>
    <w:rsid w:val="00601AFA"/>
    <w:rsid w:val="006025F9"/>
    <w:rsid w:val="00603CDF"/>
    <w:rsid w:val="0060520E"/>
    <w:rsid w:val="00606566"/>
    <w:rsid w:val="006113F3"/>
    <w:rsid w:val="0061174B"/>
    <w:rsid w:val="00625091"/>
    <w:rsid w:val="00625B62"/>
    <w:rsid w:val="00625D2D"/>
    <w:rsid w:val="006261A7"/>
    <w:rsid w:val="00632E7E"/>
    <w:rsid w:val="00636DA8"/>
    <w:rsid w:val="006418C9"/>
    <w:rsid w:val="00645E4D"/>
    <w:rsid w:val="00654DED"/>
    <w:rsid w:val="006558CE"/>
    <w:rsid w:val="0066589B"/>
    <w:rsid w:val="00671273"/>
    <w:rsid w:val="00671715"/>
    <w:rsid w:val="00672872"/>
    <w:rsid w:val="006764C8"/>
    <w:rsid w:val="006822AF"/>
    <w:rsid w:val="00685328"/>
    <w:rsid w:val="0069065D"/>
    <w:rsid w:val="00692E01"/>
    <w:rsid w:val="006A33DB"/>
    <w:rsid w:val="006A568B"/>
    <w:rsid w:val="006B1BD1"/>
    <w:rsid w:val="006B5F8D"/>
    <w:rsid w:val="006C63D7"/>
    <w:rsid w:val="006D0045"/>
    <w:rsid w:val="006D033B"/>
    <w:rsid w:val="006D30B3"/>
    <w:rsid w:val="006D57E7"/>
    <w:rsid w:val="006D7F12"/>
    <w:rsid w:val="006E16DE"/>
    <w:rsid w:val="006E1E69"/>
    <w:rsid w:val="006E7AAF"/>
    <w:rsid w:val="006F4E70"/>
    <w:rsid w:val="006F674E"/>
    <w:rsid w:val="006F7761"/>
    <w:rsid w:val="0070594D"/>
    <w:rsid w:val="00714F86"/>
    <w:rsid w:val="0071618F"/>
    <w:rsid w:val="007170C5"/>
    <w:rsid w:val="00717B71"/>
    <w:rsid w:val="007201E5"/>
    <w:rsid w:val="00725C57"/>
    <w:rsid w:val="00725D54"/>
    <w:rsid w:val="00726BA2"/>
    <w:rsid w:val="00727294"/>
    <w:rsid w:val="00730E1D"/>
    <w:rsid w:val="007315B0"/>
    <w:rsid w:val="00731CDB"/>
    <w:rsid w:val="007377A8"/>
    <w:rsid w:val="00744094"/>
    <w:rsid w:val="00752397"/>
    <w:rsid w:val="00754692"/>
    <w:rsid w:val="00771D03"/>
    <w:rsid w:val="007735BD"/>
    <w:rsid w:val="00784465"/>
    <w:rsid w:val="00790382"/>
    <w:rsid w:val="007940BE"/>
    <w:rsid w:val="007962CB"/>
    <w:rsid w:val="007B01E5"/>
    <w:rsid w:val="007B0CFF"/>
    <w:rsid w:val="007C2042"/>
    <w:rsid w:val="007E25BD"/>
    <w:rsid w:val="007E33A1"/>
    <w:rsid w:val="007F736D"/>
    <w:rsid w:val="00804C49"/>
    <w:rsid w:val="00804DA4"/>
    <w:rsid w:val="00806B41"/>
    <w:rsid w:val="00810802"/>
    <w:rsid w:val="00811573"/>
    <w:rsid w:val="0081322A"/>
    <w:rsid w:val="0081358D"/>
    <w:rsid w:val="008136D1"/>
    <w:rsid w:val="00824B1B"/>
    <w:rsid w:val="00832574"/>
    <w:rsid w:val="00833BD9"/>
    <w:rsid w:val="00837429"/>
    <w:rsid w:val="00841784"/>
    <w:rsid w:val="008529D1"/>
    <w:rsid w:val="00863F2B"/>
    <w:rsid w:val="00867BEA"/>
    <w:rsid w:val="008760AE"/>
    <w:rsid w:val="00876102"/>
    <w:rsid w:val="00876A0C"/>
    <w:rsid w:val="00880875"/>
    <w:rsid w:val="00883962"/>
    <w:rsid w:val="00892482"/>
    <w:rsid w:val="008A16D0"/>
    <w:rsid w:val="008A5C30"/>
    <w:rsid w:val="008A682F"/>
    <w:rsid w:val="008C0827"/>
    <w:rsid w:val="008C0CF5"/>
    <w:rsid w:val="008C10DE"/>
    <w:rsid w:val="008E371F"/>
    <w:rsid w:val="008E714B"/>
    <w:rsid w:val="008F1302"/>
    <w:rsid w:val="008F6085"/>
    <w:rsid w:val="008F6349"/>
    <w:rsid w:val="00904DAC"/>
    <w:rsid w:val="009057B7"/>
    <w:rsid w:val="00911D51"/>
    <w:rsid w:val="00914C40"/>
    <w:rsid w:val="00921B9E"/>
    <w:rsid w:val="00922243"/>
    <w:rsid w:val="009307C0"/>
    <w:rsid w:val="009349CA"/>
    <w:rsid w:val="00936BB5"/>
    <w:rsid w:val="00936CBA"/>
    <w:rsid w:val="00936DE1"/>
    <w:rsid w:val="0094380A"/>
    <w:rsid w:val="00943C24"/>
    <w:rsid w:val="00943FA1"/>
    <w:rsid w:val="00945F1E"/>
    <w:rsid w:val="009538DF"/>
    <w:rsid w:val="00955DAC"/>
    <w:rsid w:val="0097693D"/>
    <w:rsid w:val="00985396"/>
    <w:rsid w:val="0098601B"/>
    <w:rsid w:val="00992529"/>
    <w:rsid w:val="00995931"/>
    <w:rsid w:val="009A0FF9"/>
    <w:rsid w:val="009A2BF2"/>
    <w:rsid w:val="009A65E1"/>
    <w:rsid w:val="009B315C"/>
    <w:rsid w:val="009B401A"/>
    <w:rsid w:val="009B6F84"/>
    <w:rsid w:val="009C24C7"/>
    <w:rsid w:val="009C2869"/>
    <w:rsid w:val="009C3F9C"/>
    <w:rsid w:val="009C777F"/>
    <w:rsid w:val="009D397A"/>
    <w:rsid w:val="009D6221"/>
    <w:rsid w:val="009D63AF"/>
    <w:rsid w:val="009F162F"/>
    <w:rsid w:val="009F2378"/>
    <w:rsid w:val="00A0001F"/>
    <w:rsid w:val="00A02D7C"/>
    <w:rsid w:val="00A06A1A"/>
    <w:rsid w:val="00A078F0"/>
    <w:rsid w:val="00A15F09"/>
    <w:rsid w:val="00A17373"/>
    <w:rsid w:val="00A20358"/>
    <w:rsid w:val="00A22592"/>
    <w:rsid w:val="00A231F6"/>
    <w:rsid w:val="00A24554"/>
    <w:rsid w:val="00A2666D"/>
    <w:rsid w:val="00A27D13"/>
    <w:rsid w:val="00A34257"/>
    <w:rsid w:val="00A3582F"/>
    <w:rsid w:val="00A46330"/>
    <w:rsid w:val="00A52E94"/>
    <w:rsid w:val="00A54514"/>
    <w:rsid w:val="00A60265"/>
    <w:rsid w:val="00A627B8"/>
    <w:rsid w:val="00A64E24"/>
    <w:rsid w:val="00A904D8"/>
    <w:rsid w:val="00A97095"/>
    <w:rsid w:val="00AA084D"/>
    <w:rsid w:val="00AA35E4"/>
    <w:rsid w:val="00AA7080"/>
    <w:rsid w:val="00AB3CB9"/>
    <w:rsid w:val="00AC102F"/>
    <w:rsid w:val="00AC51AF"/>
    <w:rsid w:val="00AC73CF"/>
    <w:rsid w:val="00AD1933"/>
    <w:rsid w:val="00AD28AA"/>
    <w:rsid w:val="00AD5678"/>
    <w:rsid w:val="00AE3DB1"/>
    <w:rsid w:val="00AE6BDF"/>
    <w:rsid w:val="00AF041C"/>
    <w:rsid w:val="00AF2E45"/>
    <w:rsid w:val="00AF6450"/>
    <w:rsid w:val="00AF69C8"/>
    <w:rsid w:val="00B05F5F"/>
    <w:rsid w:val="00B15316"/>
    <w:rsid w:val="00B15E74"/>
    <w:rsid w:val="00B172B1"/>
    <w:rsid w:val="00B21323"/>
    <w:rsid w:val="00B2264E"/>
    <w:rsid w:val="00B26F3D"/>
    <w:rsid w:val="00B27A65"/>
    <w:rsid w:val="00B31C3C"/>
    <w:rsid w:val="00B3679F"/>
    <w:rsid w:val="00B43FA7"/>
    <w:rsid w:val="00B50A0D"/>
    <w:rsid w:val="00B55DF7"/>
    <w:rsid w:val="00B660F2"/>
    <w:rsid w:val="00B66CBE"/>
    <w:rsid w:val="00B705C8"/>
    <w:rsid w:val="00B71335"/>
    <w:rsid w:val="00B742AF"/>
    <w:rsid w:val="00B8290F"/>
    <w:rsid w:val="00B83216"/>
    <w:rsid w:val="00B844E7"/>
    <w:rsid w:val="00B8746A"/>
    <w:rsid w:val="00B903C8"/>
    <w:rsid w:val="00B94858"/>
    <w:rsid w:val="00BA465D"/>
    <w:rsid w:val="00BA69B0"/>
    <w:rsid w:val="00BB11AD"/>
    <w:rsid w:val="00BB770E"/>
    <w:rsid w:val="00BC1647"/>
    <w:rsid w:val="00BD4FD0"/>
    <w:rsid w:val="00BD76DA"/>
    <w:rsid w:val="00BE0069"/>
    <w:rsid w:val="00BF4327"/>
    <w:rsid w:val="00BF49E4"/>
    <w:rsid w:val="00C00CD9"/>
    <w:rsid w:val="00C03870"/>
    <w:rsid w:val="00C04968"/>
    <w:rsid w:val="00C07205"/>
    <w:rsid w:val="00C100A9"/>
    <w:rsid w:val="00C15B32"/>
    <w:rsid w:val="00C172A9"/>
    <w:rsid w:val="00C2319A"/>
    <w:rsid w:val="00C233BA"/>
    <w:rsid w:val="00C2383D"/>
    <w:rsid w:val="00C27F4D"/>
    <w:rsid w:val="00C304F7"/>
    <w:rsid w:val="00C33E66"/>
    <w:rsid w:val="00C3403A"/>
    <w:rsid w:val="00C34DD4"/>
    <w:rsid w:val="00C44B08"/>
    <w:rsid w:val="00C470CF"/>
    <w:rsid w:val="00C51CBA"/>
    <w:rsid w:val="00C529D0"/>
    <w:rsid w:val="00C55C43"/>
    <w:rsid w:val="00C609A0"/>
    <w:rsid w:val="00C65CD5"/>
    <w:rsid w:val="00C706B1"/>
    <w:rsid w:val="00C769A8"/>
    <w:rsid w:val="00C905D5"/>
    <w:rsid w:val="00C90F61"/>
    <w:rsid w:val="00C9451B"/>
    <w:rsid w:val="00C94858"/>
    <w:rsid w:val="00C95948"/>
    <w:rsid w:val="00CA4D6E"/>
    <w:rsid w:val="00CA6F73"/>
    <w:rsid w:val="00CB719D"/>
    <w:rsid w:val="00CC2443"/>
    <w:rsid w:val="00CC34EB"/>
    <w:rsid w:val="00CC52AB"/>
    <w:rsid w:val="00CC5EED"/>
    <w:rsid w:val="00CC72C4"/>
    <w:rsid w:val="00CD4E14"/>
    <w:rsid w:val="00CD67E6"/>
    <w:rsid w:val="00CE4951"/>
    <w:rsid w:val="00CE7588"/>
    <w:rsid w:val="00CF0858"/>
    <w:rsid w:val="00CF5BBF"/>
    <w:rsid w:val="00CF62E2"/>
    <w:rsid w:val="00CF6E3A"/>
    <w:rsid w:val="00D00028"/>
    <w:rsid w:val="00D069D5"/>
    <w:rsid w:val="00D12D42"/>
    <w:rsid w:val="00D13683"/>
    <w:rsid w:val="00D20382"/>
    <w:rsid w:val="00D2185A"/>
    <w:rsid w:val="00D25C13"/>
    <w:rsid w:val="00D27690"/>
    <w:rsid w:val="00D32826"/>
    <w:rsid w:val="00D352C2"/>
    <w:rsid w:val="00D35A7F"/>
    <w:rsid w:val="00D37F52"/>
    <w:rsid w:val="00D449EF"/>
    <w:rsid w:val="00D463C6"/>
    <w:rsid w:val="00D50C1D"/>
    <w:rsid w:val="00D56359"/>
    <w:rsid w:val="00D6255D"/>
    <w:rsid w:val="00D631C5"/>
    <w:rsid w:val="00D645E6"/>
    <w:rsid w:val="00D72750"/>
    <w:rsid w:val="00D82351"/>
    <w:rsid w:val="00D84452"/>
    <w:rsid w:val="00D95D84"/>
    <w:rsid w:val="00D96142"/>
    <w:rsid w:val="00DA0159"/>
    <w:rsid w:val="00DA4CAD"/>
    <w:rsid w:val="00DA5E04"/>
    <w:rsid w:val="00DB1E25"/>
    <w:rsid w:val="00DB30DF"/>
    <w:rsid w:val="00DB3AFF"/>
    <w:rsid w:val="00DB76DD"/>
    <w:rsid w:val="00DC1D00"/>
    <w:rsid w:val="00DE2E67"/>
    <w:rsid w:val="00DE39E7"/>
    <w:rsid w:val="00DE5B74"/>
    <w:rsid w:val="00DF17C9"/>
    <w:rsid w:val="00DF20A3"/>
    <w:rsid w:val="00DF5BE3"/>
    <w:rsid w:val="00E06235"/>
    <w:rsid w:val="00E1574A"/>
    <w:rsid w:val="00E241CF"/>
    <w:rsid w:val="00E26184"/>
    <w:rsid w:val="00E36FDF"/>
    <w:rsid w:val="00E37C4B"/>
    <w:rsid w:val="00E506B8"/>
    <w:rsid w:val="00E62C76"/>
    <w:rsid w:val="00E74A2F"/>
    <w:rsid w:val="00E76F32"/>
    <w:rsid w:val="00E77E10"/>
    <w:rsid w:val="00E8310D"/>
    <w:rsid w:val="00E93E5E"/>
    <w:rsid w:val="00EA023D"/>
    <w:rsid w:val="00EB6A08"/>
    <w:rsid w:val="00EB7FE4"/>
    <w:rsid w:val="00EC2DEE"/>
    <w:rsid w:val="00EC3743"/>
    <w:rsid w:val="00EC3E6D"/>
    <w:rsid w:val="00ED24B1"/>
    <w:rsid w:val="00ED527E"/>
    <w:rsid w:val="00ED5ACC"/>
    <w:rsid w:val="00EE5F91"/>
    <w:rsid w:val="00EE65B5"/>
    <w:rsid w:val="00EF198E"/>
    <w:rsid w:val="00EF3335"/>
    <w:rsid w:val="00F00E36"/>
    <w:rsid w:val="00F04324"/>
    <w:rsid w:val="00F043B6"/>
    <w:rsid w:val="00F05630"/>
    <w:rsid w:val="00F15F84"/>
    <w:rsid w:val="00F1650A"/>
    <w:rsid w:val="00F20B2D"/>
    <w:rsid w:val="00F211DC"/>
    <w:rsid w:val="00F22B36"/>
    <w:rsid w:val="00F25C01"/>
    <w:rsid w:val="00F26323"/>
    <w:rsid w:val="00F356EC"/>
    <w:rsid w:val="00F42824"/>
    <w:rsid w:val="00F46085"/>
    <w:rsid w:val="00F52F51"/>
    <w:rsid w:val="00F536FC"/>
    <w:rsid w:val="00F540C6"/>
    <w:rsid w:val="00F55942"/>
    <w:rsid w:val="00F62203"/>
    <w:rsid w:val="00F63491"/>
    <w:rsid w:val="00F64BD8"/>
    <w:rsid w:val="00F77B69"/>
    <w:rsid w:val="00F8097B"/>
    <w:rsid w:val="00F87AF9"/>
    <w:rsid w:val="00F87F67"/>
    <w:rsid w:val="00F926B9"/>
    <w:rsid w:val="00FA11EE"/>
    <w:rsid w:val="00FA409B"/>
    <w:rsid w:val="00FB3201"/>
    <w:rsid w:val="00FB40D6"/>
    <w:rsid w:val="00FB7463"/>
    <w:rsid w:val="00FC7444"/>
    <w:rsid w:val="00FD0263"/>
    <w:rsid w:val="00FD1F14"/>
    <w:rsid w:val="00FD4C8A"/>
    <w:rsid w:val="00FD58D3"/>
    <w:rsid w:val="00FE74D3"/>
    <w:rsid w:val="00FF05F4"/>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369">
      <w:bodyDiv w:val="1"/>
      <w:marLeft w:val="0"/>
      <w:marRight w:val="0"/>
      <w:marTop w:val="0"/>
      <w:marBottom w:val="0"/>
      <w:divBdr>
        <w:top w:val="none" w:sz="0" w:space="0" w:color="auto"/>
        <w:left w:val="none" w:sz="0" w:space="0" w:color="auto"/>
        <w:bottom w:val="none" w:sz="0" w:space="0" w:color="auto"/>
        <w:right w:val="none" w:sz="0" w:space="0" w:color="auto"/>
      </w:divBdr>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947079860">
      <w:bodyDiv w:val="1"/>
      <w:marLeft w:val="0"/>
      <w:marRight w:val="0"/>
      <w:marTop w:val="0"/>
      <w:marBottom w:val="0"/>
      <w:divBdr>
        <w:top w:val="none" w:sz="0" w:space="0" w:color="auto"/>
        <w:left w:val="none" w:sz="0" w:space="0" w:color="auto"/>
        <w:bottom w:val="none" w:sz="0" w:space="0" w:color="auto"/>
        <w:right w:val="none" w:sz="0" w:space="0" w:color="auto"/>
      </w:divBdr>
    </w:div>
    <w:div w:id="978070775">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 w:id="16938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cc/usc-sop-training" TargetMode="External"/><Relationship Id="rId18" Type="http://schemas.openxmlformats.org/officeDocument/2006/relationships/hyperlink" Target="https://oehha.ca.gov/proposition-65/proposition-65-list" TargetMode="External"/><Relationship Id="rId26" Type="http://schemas.openxmlformats.org/officeDocument/2006/relationships/hyperlink" Target="https://tiny.cc/usc-ehs-fact-sheets" TargetMode="External"/><Relationship Id="rId39" Type="http://schemas.openxmlformats.org/officeDocument/2006/relationships/hyperlink" Target="https://tiny.cc/usc-123" TargetMode="External"/><Relationship Id="rId21" Type="http://schemas.openxmlformats.org/officeDocument/2006/relationships/hyperlink" Target="http://tiny.cc/chem-hygiene-plan" TargetMode="External"/><Relationship Id="rId34" Type="http://schemas.openxmlformats.org/officeDocument/2006/relationships/hyperlink" Target="mailto:hazmat@usc.edu" TargetMode="External"/><Relationship Id="rId42" Type="http://schemas.openxmlformats.org/officeDocument/2006/relationships/hyperlink" Target="http://tiny.cc/chem-hygiene-plan"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iny.cc/chem-hygiene-plan" TargetMode="External"/><Relationship Id="rId29" Type="http://schemas.openxmlformats.org/officeDocument/2006/relationships/hyperlink" Target="https://tiny.cc/usc-ehs-fact-sheets" TargetMode="External"/><Relationship Id="rId11" Type="http://schemas.openxmlformats.org/officeDocument/2006/relationships/hyperlink" Target="https://tiny.cc/usc-sop-instructions" TargetMode="External"/><Relationship Id="rId24" Type="http://schemas.openxmlformats.org/officeDocument/2006/relationships/hyperlink" Target="https://tiny.cc/usc-ppe-standard" TargetMode="External"/><Relationship Id="rId32" Type="http://schemas.openxmlformats.org/officeDocument/2006/relationships/hyperlink" Target="https://tiny.cc/usc-ehs-fact-sheets" TargetMode="External"/><Relationship Id="rId37" Type="http://schemas.openxmlformats.org/officeDocument/2006/relationships/hyperlink" Target="https://tiny.cc/usc-ehs-chmSplkit-gs" TargetMode="External"/><Relationship Id="rId40" Type="http://schemas.openxmlformats.org/officeDocument/2006/relationships/hyperlink" Target="http://tiny.cc/chem-hygiene-pla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ir.ca.gov/title8/5191.html" TargetMode="External"/><Relationship Id="rId23" Type="http://schemas.openxmlformats.org/officeDocument/2006/relationships/hyperlink" Target="http://tiny.cc/chem-hygiene-plan" TargetMode="External"/><Relationship Id="rId28" Type="http://schemas.openxmlformats.org/officeDocument/2006/relationships/hyperlink" Target="http://tiny.cc/chem-hygiene-plan" TargetMode="External"/><Relationship Id="rId36" Type="http://schemas.openxmlformats.org/officeDocument/2006/relationships/hyperlink" Target="http://tiny.cc/chem-hygiene-pla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sha.gov/sites/default/files/publications/OSHA3844.pdf" TargetMode="External"/><Relationship Id="rId31" Type="http://schemas.openxmlformats.org/officeDocument/2006/relationships/hyperlink" Target="http://tiny.cc/usc-hazma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publications/OSHA3844.pdf" TargetMode="External"/><Relationship Id="rId22" Type="http://schemas.openxmlformats.org/officeDocument/2006/relationships/hyperlink" Target="http://tiny.cc/usc-chm-lbl-sign" TargetMode="External"/><Relationship Id="rId27" Type="http://schemas.openxmlformats.org/officeDocument/2006/relationships/hyperlink" Target="https://tiny.cc/usc-ehs-RPP-fs" TargetMode="External"/><Relationship Id="rId30" Type="http://schemas.openxmlformats.org/officeDocument/2006/relationships/hyperlink" Target="https://www.dir.ca.gov/title8/5191.html" TargetMode="External"/><Relationship Id="rId35" Type="http://schemas.openxmlformats.org/officeDocument/2006/relationships/hyperlink" Target="http://tiny.cc/usc-spill-clnup" TargetMode="External"/><Relationship Id="rId43" Type="http://schemas.openxmlformats.org/officeDocument/2006/relationships/hyperlink" Target="https://tiny.cc/usc-injury"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tiny.cc/chem-hygiene-plan" TargetMode="External"/><Relationship Id="rId25" Type="http://schemas.openxmlformats.org/officeDocument/2006/relationships/hyperlink" Target="http://tiny.cc/chem-hygiene-plan" TargetMode="External"/><Relationship Id="rId33" Type="http://schemas.openxmlformats.org/officeDocument/2006/relationships/hyperlink" Target="http://tiny.cc/chem-hygiene-plan" TargetMode="External"/><Relationship Id="rId38" Type="http://schemas.openxmlformats.org/officeDocument/2006/relationships/hyperlink" Target="https://tiny.cc/usc-injury" TargetMode="External"/><Relationship Id="rId46" Type="http://schemas.openxmlformats.org/officeDocument/2006/relationships/header" Target="header2.xml"/><Relationship Id="rId20" Type="http://schemas.openxmlformats.org/officeDocument/2006/relationships/hyperlink" Target="https://tiny.cc/usc-unattended-operations" TargetMode="External"/><Relationship Id="rId41" Type="http://schemas.openxmlformats.org/officeDocument/2006/relationships/hyperlink" Target="https://tiny.cc/usc-123"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Props1.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customXml/itemProps3.xml><?xml version="1.0" encoding="utf-8"?>
<ds:datastoreItem xmlns:ds="http://schemas.openxmlformats.org/officeDocument/2006/customXml" ds:itemID="{71C84A4B-1754-4327-A5A5-DF7AF48AB92A}">
  <ds:schemaRefs>
    <ds:schemaRef ds:uri="http://schemas.microsoft.com/sharepoint/v3/contenttype/forms"/>
  </ds:schemaRefs>
</ds:datastoreItem>
</file>

<file path=customXml/itemProps4.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15</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15838</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21</cp:revision>
  <cp:lastPrinted>2020-04-22T00:41:00Z</cp:lastPrinted>
  <dcterms:created xsi:type="dcterms:W3CDTF">2022-04-14T21:28:00Z</dcterms:created>
  <dcterms:modified xsi:type="dcterms:W3CDTF">2022-04-14T21:47:00Z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