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1B" w:rsidRDefault="00DD5B1B" w:rsidP="00DA1DD5">
      <w:pPr>
        <w:pStyle w:val="DHWHeading2"/>
      </w:pPr>
      <w:r>
        <w:t>Administrative Information</w:t>
      </w:r>
    </w:p>
    <w:tbl>
      <w:tblPr>
        <w:tblStyle w:val="TableGrid"/>
        <w:tblW w:w="0" w:type="auto"/>
        <w:tblLook w:val="04A0" w:firstRow="1" w:lastRow="0" w:firstColumn="1" w:lastColumn="0" w:noHBand="0" w:noVBand="1"/>
      </w:tblPr>
      <w:tblGrid>
        <w:gridCol w:w="1893"/>
        <w:gridCol w:w="3201"/>
        <w:gridCol w:w="1973"/>
        <w:gridCol w:w="3111"/>
      </w:tblGrid>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School</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Department</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DA1DD5" w:rsidP="00C92831">
            <w:pPr>
              <w:pStyle w:val="DHWParagraph"/>
              <w:jc w:val="left"/>
            </w:pPr>
            <w:r>
              <w:t>PI n</w:t>
            </w:r>
            <w:r w:rsidR="00AF15FB">
              <w:t>ame</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PI email</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 xml:space="preserve">Lab manager </w:t>
            </w:r>
            <w:r w:rsidR="00DA1DD5">
              <w:t>name (</w:t>
            </w:r>
            <w:r>
              <w:t>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 xml:space="preserve">Lab manager </w:t>
            </w:r>
            <w:r w:rsidR="00DA1DD5">
              <w:t>email (</w:t>
            </w:r>
            <w:r>
              <w:t>if applicable)</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47204F"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47204F" w:rsidRDefault="0047204F" w:rsidP="00C92831">
            <w:pPr>
              <w:pStyle w:val="DHWParagraph"/>
              <w:jc w:val="left"/>
            </w:pPr>
            <w:r>
              <w:t xml:space="preserve">Locations covered </w:t>
            </w:r>
            <w:r w:rsidR="00DA1DD5">
              <w:t>by this SOP (buildings/r</w:t>
            </w:r>
            <w:r>
              <w:t>ooms)</w:t>
            </w:r>
          </w:p>
        </w:tc>
        <w:tc>
          <w:tcPr>
            <w:tcW w:w="8412" w:type="dxa"/>
            <w:gridSpan w:val="3"/>
            <w:tcBorders>
              <w:top w:val="single" w:sz="8" w:space="0" w:color="auto"/>
              <w:left w:val="dashSmallGap" w:sz="4" w:space="0" w:color="auto"/>
              <w:bottom w:val="single" w:sz="8" w:space="0" w:color="auto"/>
              <w:right w:val="single" w:sz="8" w:space="0" w:color="auto"/>
            </w:tcBorders>
            <w:vAlign w:val="center"/>
          </w:tcPr>
          <w:p w:rsidR="0047204F" w:rsidRDefault="0047204F"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AF15FB" w:rsidP="00C92831">
            <w:pPr>
              <w:pStyle w:val="DHWParagraph"/>
              <w:jc w:val="left"/>
            </w:pPr>
            <w:r>
              <w:t>SOP approval date</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0A697D" w:rsidP="00C92831">
            <w:pPr>
              <w:pStyle w:val="DHWParagraph"/>
              <w:jc w:val="left"/>
            </w:pPr>
            <w:r>
              <w:t>Reviewed and a</w:t>
            </w:r>
            <w:r w:rsidR="00AF15FB">
              <w:t>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rsidR="00AF15FB" w:rsidRDefault="000A697D" w:rsidP="00C92831">
            <w:pPr>
              <w:pStyle w:val="DHWParagraph"/>
              <w:jc w:val="left"/>
            </w:pPr>
            <w:r>
              <w:t>Reviewed and a</w:t>
            </w:r>
            <w:r w:rsidR="00AF15FB">
              <w:t>pproved by (initials)</w:t>
            </w:r>
          </w:p>
        </w:tc>
        <w:tc>
          <w:tcPr>
            <w:tcW w:w="3167" w:type="dxa"/>
            <w:tcBorders>
              <w:top w:val="single" w:sz="8" w:space="0" w:color="auto"/>
              <w:left w:val="dashSmallGap" w:sz="4" w:space="0" w:color="auto"/>
              <w:bottom w:val="single" w:sz="8" w:space="0" w:color="auto"/>
              <w:right w:val="single" w:sz="8" w:space="0" w:color="auto"/>
            </w:tcBorders>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FF0000"/>
            <w:vAlign w:val="center"/>
          </w:tcPr>
          <w:p w:rsidR="00AF15FB" w:rsidRPr="00353C1F" w:rsidRDefault="00AF15FB" w:rsidP="00C92831">
            <w:pPr>
              <w:pStyle w:val="DHWParagraph"/>
              <w:jc w:val="left"/>
              <w:rPr>
                <w:b/>
                <w:smallCaps/>
              </w:rPr>
            </w:pPr>
            <w:r w:rsidRPr="00353C1F">
              <w:rPr>
                <w:b/>
                <w:smallCaps/>
                <w:color w:val="FFFFFF" w:themeColor="background1"/>
              </w:rPr>
              <w:t>Emergency contact</w:t>
            </w:r>
            <w:r w:rsidR="00DA1DD5" w:rsidRPr="00353C1F">
              <w:rPr>
                <w:b/>
                <w:smallCaps/>
                <w:color w:val="FFFFFF" w:themeColor="background1"/>
              </w:rPr>
              <w:t xml:space="preserve"> </w:t>
            </w:r>
            <w:r w:rsidRPr="00353C1F">
              <w:rPr>
                <w:b/>
                <w:smallCaps/>
                <w:color w:val="FFFFFF" w:themeColor="background1"/>
              </w:rPr>
              <w:t>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rsidR="00AF15FB" w:rsidRPr="00353C1F" w:rsidRDefault="00AF15FB" w:rsidP="00C92831">
            <w:pPr>
              <w:pStyle w:val="DHWParagraph"/>
              <w:jc w:val="left"/>
              <w:rPr>
                <w:b/>
                <w:smallCaps/>
              </w:rPr>
            </w:pPr>
            <w:r w:rsidRPr="00353C1F">
              <w:rPr>
                <w:b/>
                <w:smallCaps/>
                <w:color w:val="FFFFFF" w:themeColor="background1"/>
              </w:rPr>
              <w:t>Emergency contact</w:t>
            </w:r>
            <w:r w:rsidR="00DA1DD5" w:rsidRPr="00353C1F">
              <w:rPr>
                <w:b/>
                <w:smallCaps/>
                <w:color w:val="FFFFFF" w:themeColor="background1"/>
              </w:rPr>
              <w:t xml:space="preserve"> phone</w:t>
            </w:r>
            <w:r w:rsidRPr="00353C1F">
              <w:rPr>
                <w:b/>
                <w:smallCaps/>
                <w:color w:val="FFFFFF" w:themeColor="background1"/>
              </w:rPr>
              <w:t>*</w:t>
            </w:r>
          </w:p>
        </w:tc>
        <w:tc>
          <w:tcPr>
            <w:tcW w:w="3167"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rsidR="00AF15FB" w:rsidRDefault="00AF15FB" w:rsidP="00C92831">
            <w:pPr>
              <w:pStyle w:val="DHWParagraph"/>
              <w:jc w:val="left"/>
            </w:pPr>
          </w:p>
        </w:tc>
      </w:tr>
      <w:tr w:rsidR="001E2662" w:rsidTr="00077F17">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FF0000"/>
            <w:vAlign w:val="center"/>
          </w:tcPr>
          <w:p w:rsidR="00AF15FB" w:rsidRDefault="00AF15FB" w:rsidP="00C92831">
            <w:pPr>
              <w:pStyle w:val="DHWParagraph"/>
              <w:jc w:val="left"/>
            </w:pPr>
            <w:r w:rsidRPr="00077F17">
              <w:rPr>
                <w:color w:val="FFFFFF" w:themeColor="background1"/>
              </w:rPr>
              <w:t>Secondary emergency contact</w:t>
            </w:r>
            <w:r w:rsidR="00DA1DD5" w:rsidRPr="00077F17">
              <w:rPr>
                <w:color w:val="FFFFFF" w:themeColor="background1"/>
              </w:rPr>
              <w:t xml:space="preserve">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rsidR="00AF15FB" w:rsidRPr="00077F17" w:rsidRDefault="00AF15FB" w:rsidP="00C92831">
            <w:pPr>
              <w:pStyle w:val="DHWParagraph"/>
              <w:jc w:val="left"/>
              <w:rPr>
                <w:color w:val="FFFFFF" w:themeColor="background1"/>
              </w:rPr>
            </w:pPr>
            <w:r w:rsidRPr="00077F17">
              <w:rPr>
                <w:color w:val="FFFFFF" w:themeColor="background1"/>
              </w:rPr>
              <w:t>Secondary emergency contact</w:t>
            </w:r>
            <w:r w:rsidR="00DA1DD5" w:rsidRPr="00077F17">
              <w:rPr>
                <w:color w:val="FFFFFF" w:themeColor="background1"/>
              </w:rPr>
              <w:t xml:space="preserve"> phone</w:t>
            </w:r>
            <w:r w:rsidRPr="00077F17">
              <w:rPr>
                <w:color w:val="FFFFFF" w:themeColor="background1"/>
              </w:rPr>
              <w:t>*</w:t>
            </w:r>
          </w:p>
        </w:tc>
        <w:tc>
          <w:tcPr>
            <w:tcW w:w="3167"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rsidR="00AF15FB" w:rsidRDefault="00AF15FB" w:rsidP="00C92831">
            <w:pPr>
              <w:pStyle w:val="DHWParagraph"/>
              <w:jc w:val="left"/>
            </w:pPr>
          </w:p>
        </w:tc>
      </w:tr>
      <w:tr w:rsidR="00AF15FB" w:rsidTr="00946104">
        <w:trPr>
          <w:trHeight w:val="873"/>
        </w:trPr>
        <w:tc>
          <w:tcPr>
            <w:tcW w:w="1031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15FB" w:rsidRDefault="00AF15FB" w:rsidP="00C92831">
            <w:pPr>
              <w:pStyle w:val="DHWParagraph"/>
              <w:jc w:val="left"/>
            </w:pPr>
            <w:r>
              <w:t xml:space="preserve">* </w:t>
            </w:r>
            <w:r w:rsidRPr="00AF15FB">
              <w:t>Provide emergency contact phone numbers that will be active both during normal work hours and after hours, e.g., personal mobile phone. Alternatively, give separate daytime and after-hours numbers for both contacts.</w:t>
            </w:r>
          </w:p>
        </w:tc>
      </w:tr>
    </w:tbl>
    <w:p w:rsidR="00DD5B1B" w:rsidRPr="00833043" w:rsidRDefault="00DD5B1B" w:rsidP="00C92831">
      <w:pPr>
        <w:pStyle w:val="DHWParagraph"/>
        <w:rPr>
          <w:sz w:val="12"/>
          <w:szCs w:val="12"/>
        </w:rPr>
      </w:pPr>
    </w:p>
    <w:p w:rsidR="00A3203C" w:rsidRDefault="00077F17" w:rsidP="00A3203C">
      <w:pPr>
        <w:pStyle w:val="DHWHeading2"/>
      </w:pPr>
      <w:r>
        <w:t>SOP Requirements</w:t>
      </w:r>
    </w:p>
    <w:p w:rsidR="00A3203C" w:rsidRPr="00A3203C" w:rsidRDefault="00A3203C" w:rsidP="00A3203C">
      <w:pPr>
        <w:pStyle w:val="DHWHanging1"/>
      </w:pPr>
      <w:r>
        <w:t>Instructions document</w:t>
      </w:r>
      <w:r>
        <w:tab/>
      </w:r>
      <w:proofErr w:type="gramStart"/>
      <w:r w:rsidR="00077F17">
        <w:t>You</w:t>
      </w:r>
      <w:proofErr w:type="gramEnd"/>
      <w:r w:rsidR="00077F17">
        <w:t xml:space="preserve"> are </w:t>
      </w:r>
      <w:r w:rsidR="00946104">
        <w:t xml:space="preserve">responsible for reading </w:t>
      </w:r>
      <w:r w:rsidR="0028130E">
        <w:t xml:space="preserve">the </w:t>
      </w:r>
      <w:hyperlink r:id="rId8" w:history="1">
        <w:r w:rsidR="0028130E" w:rsidRPr="0028130E">
          <w:rPr>
            <w:rStyle w:val="Hyperlink"/>
          </w:rPr>
          <w:t>SOP Instructions</w:t>
        </w:r>
      </w:hyperlink>
      <w:r>
        <w:t xml:space="preserve"> </w:t>
      </w:r>
      <w:r w:rsidR="00077F17">
        <w:t xml:space="preserve">outlining </w:t>
      </w:r>
      <w:r>
        <w:t>roles, responsibilities, and other important safety information.</w:t>
      </w:r>
      <w:r w:rsidR="00946104">
        <w:t xml:space="preserve"> In addition, you must include that document as part of your records.</w:t>
      </w:r>
    </w:p>
    <w:p w:rsidR="00A3203C" w:rsidRDefault="00077F17" w:rsidP="00A3203C">
      <w:pPr>
        <w:pStyle w:val="DHWHanging1"/>
      </w:pPr>
      <w:r>
        <w:t>Recordkeeping</w:t>
      </w:r>
      <w:r w:rsidR="00A3203C">
        <w:tab/>
      </w:r>
      <w:r>
        <w:t>A</w:t>
      </w:r>
      <w:r w:rsidR="00A3203C">
        <w:t xml:space="preserve">cknowledgement </w:t>
      </w:r>
      <w:r>
        <w:t xml:space="preserve">forms for </w:t>
      </w:r>
      <w:r w:rsidR="00A3203C">
        <w:t xml:space="preserve">this SOP and any associated training are included at the end of this </w:t>
      </w:r>
      <w:r>
        <w:t>document</w:t>
      </w:r>
      <w:r w:rsidR="00A3203C">
        <w:t>. Additional copies of the forms are available online</w:t>
      </w:r>
      <w:r w:rsidR="0028130E">
        <w:t xml:space="preserve"> (</w:t>
      </w:r>
      <w:hyperlink r:id="rId9" w:history="1">
        <w:r w:rsidR="0028130E" w:rsidRPr="0028130E">
          <w:rPr>
            <w:rStyle w:val="Hyperlink"/>
          </w:rPr>
          <w:t>SOP Acknowledgement</w:t>
        </w:r>
      </w:hyperlink>
      <w:r w:rsidR="0028130E">
        <w:t xml:space="preserve">, </w:t>
      </w:r>
      <w:hyperlink r:id="rId10" w:history="1">
        <w:r w:rsidR="0028130E" w:rsidRPr="0028130E">
          <w:rPr>
            <w:rStyle w:val="Hyperlink"/>
          </w:rPr>
          <w:t>Internal Training Record</w:t>
        </w:r>
      </w:hyperlink>
      <w:r w:rsidR="0028130E">
        <w:t>)</w:t>
      </w:r>
      <w:r w:rsidR="00A3203C">
        <w:t>.</w:t>
      </w:r>
    </w:p>
    <w:p w:rsidR="00A3203C" w:rsidRPr="00C92831" w:rsidRDefault="00A3203C" w:rsidP="00A3203C">
      <w:pPr>
        <w:pStyle w:val="DHWHanging1"/>
      </w:pPr>
      <w:r w:rsidRPr="00BE5F14">
        <w:t>Customization</w:t>
      </w:r>
      <w:r>
        <w:tab/>
      </w:r>
      <w:r w:rsidRPr="00BE5F14">
        <w:t xml:space="preserve">It is intended that personnel add lab-specific information to the SOP template to produce a finished and functional SOP. </w:t>
      </w:r>
      <w:r w:rsidRPr="00BE5F14">
        <w:rPr>
          <w:highlight w:val="yellow"/>
        </w:rPr>
        <w:t xml:space="preserve">Suggested places to </w:t>
      </w:r>
      <w:proofErr w:type="gramStart"/>
      <w:r w:rsidRPr="00BE5F14">
        <w:rPr>
          <w:highlight w:val="yellow"/>
        </w:rPr>
        <w:t>add</w:t>
      </w:r>
      <w:proofErr w:type="gramEnd"/>
      <w:r w:rsidRPr="00BE5F14">
        <w:rPr>
          <w:highlight w:val="yellow"/>
        </w:rPr>
        <w:t xml:space="preserve"> customization are highlighted in yellow throughout the document.</w:t>
      </w:r>
    </w:p>
    <w:p w:rsidR="00C92831" w:rsidRDefault="00C92831">
      <w:pPr>
        <w:jc w:val="left"/>
        <w:rPr>
          <w:b/>
          <w:sz w:val="32"/>
          <w:szCs w:val="32"/>
        </w:rPr>
      </w:pPr>
      <w:r>
        <w:br w:type="page"/>
      </w:r>
    </w:p>
    <w:p w:rsidR="00D3311D" w:rsidRDefault="00D3311D" w:rsidP="00D70112">
      <w:pPr>
        <w:pStyle w:val="DHWHeading2"/>
      </w:pPr>
      <w:r>
        <w:lastRenderedPageBreak/>
        <w:t>Standard (Safe) Operating Procedure: CYANIDES</w:t>
      </w:r>
    </w:p>
    <w:p w:rsidR="00444E03" w:rsidRDefault="00444E03" w:rsidP="00D3311D">
      <w:pPr>
        <w:pStyle w:val="DHWHanging1"/>
      </w:pPr>
      <w:r>
        <w:t>Scope</w:t>
      </w:r>
      <w:r>
        <w:tab/>
      </w:r>
      <w:r w:rsidR="0054510D">
        <w:t>This SOP covers substance</w:t>
      </w:r>
      <w:r w:rsidR="000C218D">
        <w:t>s which produce cyanide ion in solution and which display the high acute toxicity characteristic</w:t>
      </w:r>
      <w:r w:rsidR="00635D45">
        <w:t>s</w:t>
      </w:r>
      <w:r w:rsidR="000C218D">
        <w:t xml:space="preserve"> of cyanide. Organic </w:t>
      </w:r>
      <w:proofErr w:type="spellStart"/>
      <w:r w:rsidR="000C218D">
        <w:t>cyano</w:t>
      </w:r>
      <w:proofErr w:type="spellEnd"/>
      <w:r w:rsidR="000C218D">
        <w:t xml:space="preserve"> compounds which do not dissociate into cyanide ion (e.g. nitriles such as acetonitrile) and inorganic thiocyanates and cyanates exhibit much lower toxicity and do not need to be handled under this SOP. </w:t>
      </w:r>
    </w:p>
    <w:p w:rsidR="00A94A52" w:rsidRDefault="00A94A52" w:rsidP="00A94A52">
      <w:pPr>
        <w:pStyle w:val="DHWIndent1"/>
      </w:pPr>
      <w:proofErr w:type="spellStart"/>
      <w:r>
        <w:t>Hexacyanoferrates</w:t>
      </w:r>
      <w:proofErr w:type="spellEnd"/>
      <w:r w:rsidR="006B026F">
        <w:t xml:space="preserve"> </w:t>
      </w:r>
      <w:r>
        <w:t>(II or III) are virtually non-toxic and do not need to be handled w</w:t>
      </w:r>
      <w:r w:rsidR="00406CBE">
        <w:t xml:space="preserve">ith the same precautions as </w:t>
      </w:r>
      <w:r>
        <w:t>acutely tox</w:t>
      </w:r>
      <w:r w:rsidR="00893F71">
        <w:t xml:space="preserve">ic cyanides. That is, however, </w:t>
      </w:r>
      <w:r w:rsidR="006B026F">
        <w:t>with one exception:</w:t>
      </w:r>
      <w:r>
        <w:t xml:space="preserve"> Addition of strong acids to </w:t>
      </w:r>
      <w:proofErr w:type="spellStart"/>
      <w:r>
        <w:t>hexacyanoferrates</w:t>
      </w:r>
      <w:proofErr w:type="spellEnd"/>
      <w:r>
        <w:t xml:space="preserve"> may liberate highly to</w:t>
      </w:r>
      <w:r w:rsidR="00B26884">
        <w:t>xic hydrogen cyanide gas and thu</w:t>
      </w:r>
      <w:r>
        <w:t>s</w:t>
      </w:r>
      <w:r w:rsidR="00B26884">
        <w:t>, this</w:t>
      </w:r>
      <w:r>
        <w:t xml:space="preserve"> must be avoided at all cost</w:t>
      </w:r>
      <w:r w:rsidR="00852AD0">
        <w:t>s</w:t>
      </w:r>
      <w:r>
        <w:t xml:space="preserve">. </w:t>
      </w:r>
    </w:p>
    <w:p w:rsidR="00890F25" w:rsidRDefault="005C1718" w:rsidP="00A94A52">
      <w:pPr>
        <w:pStyle w:val="DHWHanging1"/>
      </w:pPr>
      <w:r>
        <w:t>Background: Cyanide Toxicity</w:t>
      </w:r>
      <w:r w:rsidR="00D3311D">
        <w:tab/>
      </w:r>
      <w:r w:rsidR="00890F25">
        <w:t>Cyanide ion strongly complexes the active metal site in a number of enzyme syste</w:t>
      </w:r>
      <w:r w:rsidR="00852AD0">
        <w:t>ms which are essential for life, most</w:t>
      </w:r>
      <w:r w:rsidR="00890F25">
        <w:t xml:space="preserve"> notably</w:t>
      </w:r>
      <w:r w:rsidR="00852AD0">
        <w:t>,</w:t>
      </w:r>
      <w:r w:rsidR="00890F25">
        <w:t xml:space="preserve"> </w:t>
      </w:r>
      <w:r w:rsidR="00890F25" w:rsidRPr="00890F25">
        <w:t>cytochrome c oxidase</w:t>
      </w:r>
      <w:r w:rsidR="00890F25">
        <w:t xml:space="preserve"> which is necessary for cells to use oxygen and produce energy. Exposure of cells to cyanide causes rapid dysfunction and death. In the human body</w:t>
      </w:r>
      <w:r w:rsidR="009C7BF0">
        <w:t>,</w:t>
      </w:r>
      <w:r w:rsidR="00890F25">
        <w:t xml:space="preserve"> the effects of cyanide poisoning manifest most severely in those organs that have the highest energy and oxygen requirements, especially the central nervous system.</w:t>
      </w:r>
    </w:p>
    <w:p w:rsidR="00852AD0" w:rsidRDefault="00750A14" w:rsidP="002F6C74">
      <w:pPr>
        <w:pStyle w:val="DHWIndent1"/>
      </w:pPr>
      <w:r>
        <w:t xml:space="preserve">As a poison, cyanide has some unusual characteristics. The rapidity of the toxic effect of a sizeable dose of cyanide is extraordinarily fast, much quicker than almost all other poisons. Substantial cyanide exposure can cause almost immediate collapse and unconsciousness, rapidly followed by convulsions, with death ensuing within a few minutes. </w:t>
      </w:r>
      <w:r w:rsidR="00852AD0">
        <w:t>As illustrated above, the acute toxicity of cyanide is extremely high. For example, a fatal dose of hydrogen cyanide is 50 mg or less.</w:t>
      </w:r>
    </w:p>
    <w:p w:rsidR="00852AD0" w:rsidRDefault="005C1718" w:rsidP="00D3311D">
      <w:pPr>
        <w:pStyle w:val="DHWIndent1"/>
      </w:pPr>
      <w:r>
        <w:t>Cyanides are highly acutely toxic by all routes of absorption (</w:t>
      </w:r>
      <w:r w:rsidR="00445D30">
        <w:t>inhalation, ingestion, skin or eye contact, injection under the skin). The main difference between the routes is t</w:t>
      </w:r>
      <w:r w:rsidR="00852AD0">
        <w:t>he speed of absorption and thus,</w:t>
      </w:r>
      <w:r w:rsidR="00445D30">
        <w:t xml:space="preserve"> the speed with which symptoms may appear. Inhalation of hydrogen cyanide (a highly volatile liquid or gas) may cause life threatening symptoms within seconds. </w:t>
      </w:r>
      <w:r w:rsidR="00197399">
        <w:t xml:space="preserve">Ingestion can cause symptoms within 30 seconds to a few minutes depending on the quantity of cyanide. Symptoms from skin contact are generally the slowest to appear. Substantial spillage of cyanide solution on the skin may result in a fatal dose of cyanide being absorbed within minutes, although symptoms may be </w:t>
      </w:r>
      <w:r w:rsidR="008E7FF5">
        <w:t xml:space="preserve">further </w:t>
      </w:r>
      <w:r w:rsidR="00197399">
        <w:t xml:space="preserve">delayed as the cyanide slowly diffuses into the body. </w:t>
      </w:r>
    </w:p>
    <w:p w:rsidR="00852AD0" w:rsidRDefault="00852AD0" w:rsidP="00D3311D">
      <w:pPr>
        <w:pStyle w:val="DHWIndent1"/>
      </w:pPr>
      <w:r>
        <w:t>Symptoms of poisoning may include severe pain, skin burns, and deep ulcers from skin contact with solutions, irritation to the nose, throat, and lungs from breathing solid cyanide dust</w:t>
      </w:r>
      <w:r w:rsidR="00527C5B">
        <w:t>, and</w:t>
      </w:r>
      <w:r>
        <w:t xml:space="preserve"> may also result in </w:t>
      </w:r>
      <w:r>
        <w:lastRenderedPageBreak/>
        <w:t xml:space="preserve">headache, dizziness, fast heartbeat, nausea and vomiting, sudden collapse, unconsciousness, convulsion, and death. </w:t>
      </w:r>
    </w:p>
    <w:p w:rsidR="00852AD0" w:rsidRDefault="00852AD0" w:rsidP="00852AD0">
      <w:pPr>
        <w:pStyle w:val="DHWIndent1"/>
      </w:pPr>
      <w:r>
        <w:t xml:space="preserve">Despite the extreme acute toxicity, the chronic toxicity of cyanide is low on account of the human body having an inbuilt detoxification mechanism. The body oxidizes cyanide to low toxicity thiocyanate which is excreted. The detoxification mechanism is an evolutionary adaptation to naturally occurring cyanides in foods (e.g. apple pips) and cyanide produced within the body as a byproduct of biochemical processes. </w:t>
      </w:r>
      <w:r w:rsidR="00D94521">
        <w:t xml:space="preserve">Chronic exposure is not, however, without effects. </w:t>
      </w:r>
      <w:r w:rsidR="00EC310F">
        <w:t xml:space="preserve">Long-term exposure to sodium cyanide, for example, may lead to cancer, possible teratogenic effects, thyroid gland enlargement, changes in blood cell count, and nose discharge, bleeds and sores. </w:t>
      </w:r>
    </w:p>
    <w:p w:rsidR="00C943C9" w:rsidRDefault="00250E0A" w:rsidP="00EB5B5D">
      <w:pPr>
        <w:pStyle w:val="DHWIndent1"/>
      </w:pPr>
      <w:hyperlink r:id="rId11" w:history="1">
        <w:r w:rsidR="00E27A75" w:rsidRPr="000D4027">
          <w:rPr>
            <w:rStyle w:val="Hyperlink"/>
          </w:rPr>
          <w:t>Cal-OSHA</w:t>
        </w:r>
        <w:r w:rsidR="00D3311D" w:rsidRPr="000D4027">
          <w:rPr>
            <w:rStyle w:val="Hyperlink"/>
          </w:rPr>
          <w:t xml:space="preserve"> permissible exposure limit</w:t>
        </w:r>
      </w:hyperlink>
      <w:r w:rsidR="00D3311D">
        <w:t xml:space="preserve"> (PEL) </w:t>
      </w:r>
      <w:r w:rsidR="00F30680">
        <w:t xml:space="preserve">for </w:t>
      </w:r>
      <w:r w:rsidR="00E27A75">
        <w:t xml:space="preserve">contained </w:t>
      </w:r>
      <w:r w:rsidR="000D4027">
        <w:t xml:space="preserve">cyanides is 5 </w:t>
      </w:r>
      <w:r w:rsidR="00D3311D">
        <w:t>mg/m</w:t>
      </w:r>
      <w:r w:rsidR="00D3311D" w:rsidRPr="008E3E27">
        <w:rPr>
          <w:vertAlign w:val="superscript"/>
        </w:rPr>
        <w:t>3</w:t>
      </w:r>
      <w:r w:rsidR="00F30680">
        <w:t xml:space="preserve">. </w:t>
      </w:r>
      <w:r w:rsidR="000D4027">
        <w:t>Per this definition, c</w:t>
      </w:r>
      <w:r w:rsidR="00944C31">
        <w:t>yanide exposure should be virtually zero but should never exceed an average value of 5 mg/m</w:t>
      </w:r>
      <w:r w:rsidR="00944C31" w:rsidRPr="008E3E27">
        <w:rPr>
          <w:vertAlign w:val="superscript"/>
        </w:rPr>
        <w:t>3</w:t>
      </w:r>
      <w:r w:rsidR="00944C31">
        <w:t xml:space="preserve"> over an 8 hour work day. </w:t>
      </w:r>
      <w:r w:rsidR="00C943C9">
        <w:t>T</w:t>
      </w:r>
      <w:r w:rsidR="00F30680">
        <w:t xml:space="preserve">he </w:t>
      </w:r>
      <w:r w:rsidR="000D4027">
        <w:t>Cal-</w:t>
      </w:r>
      <w:r w:rsidR="00F30680">
        <w:t>OS</w:t>
      </w:r>
      <w:r w:rsidR="00E27A75">
        <w:t>HA PEL</w:t>
      </w:r>
      <w:r w:rsidR="000D4027">
        <w:t xml:space="preserve"> and ceiling limit</w:t>
      </w:r>
      <w:r w:rsidR="00E27A75">
        <w:t xml:space="preserve"> for hydrogen cyanide is 5 mg/m</w:t>
      </w:r>
      <w:r w:rsidR="00E27A75">
        <w:rPr>
          <w:vertAlign w:val="superscript"/>
        </w:rPr>
        <w:t>3</w:t>
      </w:r>
      <w:r w:rsidR="000D4027">
        <w:t xml:space="preserve">. </w:t>
      </w:r>
    </w:p>
    <w:p w:rsidR="004D7063" w:rsidRDefault="00C943C9" w:rsidP="00EB5B5D">
      <w:pPr>
        <w:pStyle w:val="DHWIndent1"/>
      </w:pPr>
      <w:r>
        <w:t xml:space="preserve">Please note: </w:t>
      </w:r>
      <w:r w:rsidR="00EB5B5D">
        <w:t xml:space="preserve">Hydrogen cyanide is readily </w:t>
      </w:r>
      <w:r w:rsidR="00346F05">
        <w:t xml:space="preserve">produced in small amounts when working with </w:t>
      </w:r>
      <w:r w:rsidR="00346F05" w:rsidRPr="00346F05">
        <w:t>cyanide solutions and solids</w:t>
      </w:r>
      <w:r w:rsidR="003029BE">
        <w:t>. W</w:t>
      </w:r>
      <w:r w:rsidR="00346F05" w:rsidRPr="00346F05">
        <w:t xml:space="preserve">hen </w:t>
      </w:r>
      <w:r w:rsidR="003029BE">
        <w:t xml:space="preserve">these same materials are </w:t>
      </w:r>
      <w:r w:rsidR="00346F05">
        <w:t>used</w:t>
      </w:r>
      <w:r w:rsidR="00346F05" w:rsidRPr="00346F05">
        <w:t xml:space="preserve"> in conjunction with acids, large amounts of hydrogen cyanide</w:t>
      </w:r>
      <w:r w:rsidR="003029BE">
        <w:t xml:space="preserve"> will be released</w:t>
      </w:r>
      <w:r w:rsidR="00346F05" w:rsidRPr="00346F05">
        <w:t xml:space="preserve">. </w:t>
      </w:r>
    </w:p>
    <w:p w:rsidR="00D3311D" w:rsidRDefault="00D3311D" w:rsidP="00183485">
      <w:pPr>
        <w:pStyle w:val="DHWHanging1"/>
      </w:pPr>
      <w:r w:rsidRPr="004A49AF">
        <w:t>Hazard identification</w:t>
      </w:r>
      <w:r w:rsidRPr="004A49AF">
        <w:tab/>
      </w:r>
      <w:r>
        <w:t>C</w:t>
      </w:r>
      <w:r w:rsidR="00AC685E">
        <w:t>ommon ionic c</w:t>
      </w:r>
      <w:r>
        <w:t>yanides are white crystalline solid</w:t>
      </w:r>
      <w:r w:rsidR="00AC685E">
        <w:t>s</w:t>
      </w:r>
      <w:r>
        <w:t xml:space="preserve"> or powder</w:t>
      </w:r>
      <w:r w:rsidR="00AC685E">
        <w:t>s</w:t>
      </w:r>
      <w:r>
        <w:t xml:space="preserve"> (e.g. </w:t>
      </w:r>
      <w:proofErr w:type="spellStart"/>
      <w:r>
        <w:t>NaCN</w:t>
      </w:r>
      <w:proofErr w:type="spellEnd"/>
      <w:r>
        <w:t>) or colorless gas</w:t>
      </w:r>
      <w:r w:rsidR="00AC685E">
        <w:t>es</w:t>
      </w:r>
      <w:r>
        <w:t xml:space="preserve"> (e.g. HCN). </w:t>
      </w:r>
      <w:r w:rsidR="00334F12">
        <w:t>As previously stated, such compound</w:t>
      </w:r>
      <w:r w:rsidR="00334F12" w:rsidRPr="00334F12">
        <w:t xml:space="preserve">s will </w:t>
      </w:r>
      <w:r w:rsidR="00F13B87" w:rsidRPr="00334F12">
        <w:t>readily produce hydrogen cyanide gas upon contact with acids</w:t>
      </w:r>
      <w:r w:rsidR="00334F12" w:rsidRPr="00334F12">
        <w:t>.</w:t>
      </w:r>
      <w:r w:rsidR="00F13B87" w:rsidRPr="00334F12">
        <w:t xml:space="preserve"> </w:t>
      </w:r>
      <w:r>
        <w:t xml:space="preserve">According to the Centers for Disease Control and Prevention (CDC), </w:t>
      </w:r>
      <w:r w:rsidR="0000663C">
        <w:t xml:space="preserve">hydrogen </w:t>
      </w:r>
      <w:r>
        <w:t>cyanides may have an almond-like odor but do not always give off a smell and no</w:t>
      </w:r>
      <w:r w:rsidR="00206DF8">
        <w:t>t</w:t>
      </w:r>
      <w:r w:rsidR="00C67D2D">
        <w:t xml:space="preserve"> everyone can detect this</w:t>
      </w:r>
      <w:r w:rsidR="00206DF8">
        <w:t xml:space="preserve"> odor as 1 in 4 people are genetically predisposed not to.</w:t>
      </w:r>
      <w:r w:rsidR="0000663C">
        <w:t xml:space="preserve"> </w:t>
      </w:r>
      <w:r>
        <w:t xml:space="preserve">According to California Proposition 65, hydrogen cyanide and cyanide salts are also </w:t>
      </w:r>
      <w:r w:rsidR="00183485">
        <w:t>regulated as reproductive toxicants</w:t>
      </w:r>
      <w:r>
        <w:t xml:space="preserve">. </w:t>
      </w:r>
      <w:r w:rsidRPr="004A49AF">
        <w:t>(</w:t>
      </w:r>
      <w:hyperlink r:id="rId12" w:history="1">
        <w:r w:rsidRPr="004A49AF">
          <w:rPr>
            <w:rStyle w:val="Hyperlink"/>
          </w:rPr>
          <w:t>https://oehha.ca.gov/proposition-65/proposition-65-list</w:t>
        </w:r>
      </w:hyperlink>
      <w:r w:rsidR="00F84A52">
        <w:t>)</w:t>
      </w:r>
    </w:p>
    <w:p w:rsidR="00104EB7" w:rsidRPr="00AC685E" w:rsidRDefault="00D3311D" w:rsidP="00104EB7">
      <w:pPr>
        <w:pStyle w:val="DHWHanging1"/>
        <w:rPr>
          <w:color w:val="FF0000"/>
        </w:rPr>
      </w:pPr>
      <w:r>
        <w:tab/>
      </w:r>
      <w:r w:rsidR="006219FF">
        <w:t xml:space="preserve">Taking sodium cyanide as an example, </w:t>
      </w:r>
      <w:r w:rsidR="00575725">
        <w:t xml:space="preserve">within the OSHA/GHS hazard classification system (used in supplier’s labelling and safety data sheets (SDSs)), this material is classified as: </w:t>
      </w:r>
    </w:p>
    <w:p w:rsidR="006E523D" w:rsidRPr="00575725" w:rsidRDefault="00575725" w:rsidP="006E523D">
      <w:pPr>
        <w:pStyle w:val="Style1"/>
      </w:pPr>
      <w:r w:rsidRPr="00575725">
        <w:t xml:space="preserve">Acute </w:t>
      </w:r>
      <w:r w:rsidR="006E523D" w:rsidRPr="00575725">
        <w:t>toxicity, Or</w:t>
      </w:r>
      <w:r w:rsidR="00104EB7" w:rsidRPr="00575725">
        <w:t>al (Category 1</w:t>
      </w:r>
      <w:r w:rsidR="006E523D" w:rsidRPr="00575725">
        <w:t>)</w:t>
      </w:r>
    </w:p>
    <w:p w:rsidR="006E523D" w:rsidRPr="00575725" w:rsidRDefault="006E523D" w:rsidP="006E523D">
      <w:pPr>
        <w:pStyle w:val="Style1"/>
      </w:pPr>
      <w:r w:rsidRPr="00575725">
        <w:t xml:space="preserve">Acute </w:t>
      </w:r>
      <w:r w:rsidR="00104EB7" w:rsidRPr="00575725">
        <w:t>toxicity, Inhalation (Category 1</w:t>
      </w:r>
      <w:r w:rsidRPr="00575725">
        <w:t>)</w:t>
      </w:r>
    </w:p>
    <w:p w:rsidR="006E523D" w:rsidRPr="00575725" w:rsidRDefault="006E523D" w:rsidP="006E523D">
      <w:pPr>
        <w:pStyle w:val="Style1"/>
      </w:pPr>
      <w:r w:rsidRPr="00575725">
        <w:t>Acute toxicity, Dermal (Category 1)</w:t>
      </w:r>
    </w:p>
    <w:p w:rsidR="00104EB7" w:rsidRPr="00575725" w:rsidRDefault="00104EB7" w:rsidP="00DE275E">
      <w:pPr>
        <w:pStyle w:val="Style1"/>
      </w:pPr>
      <w:r w:rsidRPr="00575725">
        <w:t xml:space="preserve">Specific target organ toxicity- repeated exposure (Category 1) </w:t>
      </w:r>
    </w:p>
    <w:p w:rsidR="00DE275E" w:rsidRPr="00575725" w:rsidRDefault="00DE275E" w:rsidP="00DE275E">
      <w:pPr>
        <w:pStyle w:val="Style1"/>
      </w:pPr>
    </w:p>
    <w:p w:rsidR="00104EB7" w:rsidRDefault="00B071D2" w:rsidP="006E523D">
      <w:pPr>
        <w:pStyle w:val="DHWIndent1"/>
      </w:pPr>
      <w:r>
        <w:lastRenderedPageBreak/>
        <w:t xml:space="preserve">With </w:t>
      </w:r>
      <w:r w:rsidRPr="009D63E8">
        <w:t>category 1 representing</w:t>
      </w:r>
      <w:r w:rsidR="00E57A90" w:rsidRPr="009D63E8">
        <w:t xml:space="preserve"> the most severe hazard category</w:t>
      </w:r>
      <w:r w:rsidRPr="009D63E8">
        <w:t>,</w:t>
      </w:r>
      <w:r w:rsidR="00E57A90" w:rsidRPr="009D63E8">
        <w:t xml:space="preserve"> </w:t>
      </w:r>
      <w:r w:rsidRPr="009D63E8">
        <w:t>s</w:t>
      </w:r>
      <w:r w:rsidR="00104EB7" w:rsidRPr="009D63E8">
        <w:t xml:space="preserve">odium cyanide </w:t>
      </w:r>
      <w:r w:rsidR="006E523D" w:rsidRPr="009D63E8">
        <w:t xml:space="preserve">is </w:t>
      </w:r>
      <w:r w:rsidRPr="009D63E8">
        <w:t xml:space="preserve">highly </w:t>
      </w:r>
      <w:r w:rsidR="00104EB7" w:rsidRPr="009D63E8">
        <w:t>acute</w:t>
      </w:r>
      <w:r w:rsidRPr="009D63E8">
        <w:t>ly toxic</w:t>
      </w:r>
      <w:r w:rsidR="00104EB7" w:rsidRPr="009D63E8">
        <w:t xml:space="preserve"> by oral,</w:t>
      </w:r>
      <w:r w:rsidRPr="009D63E8">
        <w:t xml:space="preserve"> inhalation, and dermal exposure and </w:t>
      </w:r>
      <w:r w:rsidR="00104EB7" w:rsidRPr="009D63E8">
        <w:t xml:space="preserve">for specific target organ toxicity through prolonged or repeated exposure. </w:t>
      </w:r>
    </w:p>
    <w:p w:rsidR="00D3311D" w:rsidRPr="004A49AF" w:rsidRDefault="006E523D" w:rsidP="00364FBB">
      <w:pPr>
        <w:pStyle w:val="DHWIndent1"/>
      </w:pPr>
      <w:r w:rsidRPr="006E523D">
        <w:t xml:space="preserve">Please refer to Section 6 of the </w:t>
      </w:r>
      <w:hyperlink r:id="rId13" w:history="1">
        <w:r w:rsidRPr="006E523D">
          <w:rPr>
            <w:rStyle w:val="Hyperlink"/>
          </w:rPr>
          <w:t>CHP</w:t>
        </w:r>
        <w:r w:rsidRPr="006E523D">
          <w:rPr>
            <w:rStyle w:val="Hyperlink"/>
            <w:u w:val="none"/>
          </w:rPr>
          <w:t xml:space="preserve"> </w:t>
        </w:r>
      </w:hyperlink>
      <w:r w:rsidRPr="006E523D">
        <w:t xml:space="preserve">for a detailed explanation of the OSHA/GHS hazard classification system. </w:t>
      </w:r>
      <w:r w:rsidRPr="0075410A">
        <w:rPr>
          <w:b/>
          <w:color w:val="FF0000"/>
        </w:rPr>
        <w:t>All personnel who agree to abide by this SOP are required to familiarize themselves with the contents of Section 6 of the CHP.</w:t>
      </w:r>
    </w:p>
    <w:p w:rsidR="00D3311D" w:rsidRPr="006203B8" w:rsidRDefault="006E523D" w:rsidP="006E523D">
      <w:pPr>
        <w:pStyle w:val="DHWHanging1"/>
      </w:pPr>
      <w:r>
        <w:t>PHS</w:t>
      </w:r>
      <w:r>
        <w:tab/>
      </w:r>
      <w:r w:rsidR="004D4BFD">
        <w:t xml:space="preserve">Cyanides fall </w:t>
      </w:r>
      <w:r w:rsidR="004D4BFD" w:rsidRPr="00017BA4">
        <w:t xml:space="preserve">under the Cal-OSHA definition of </w:t>
      </w:r>
      <w:r w:rsidR="004D4BFD" w:rsidRPr="00017BA4">
        <w:rPr>
          <w:i/>
        </w:rPr>
        <w:t xml:space="preserve">Particularly Hazardous Substances </w:t>
      </w:r>
      <w:r w:rsidR="004D4BFD" w:rsidRPr="00017BA4">
        <w:t>(PHS) which require additional precautions in use (</w:t>
      </w:r>
      <w:hyperlink r:id="rId14" w:history="1">
        <w:r w:rsidR="004D4BFD" w:rsidRPr="00017BA4">
          <w:rPr>
            <w:rStyle w:val="Hyperlink"/>
          </w:rPr>
          <w:t>8 CCR §5191</w:t>
        </w:r>
      </w:hyperlink>
      <w:r w:rsidR="004D4BFD">
        <w:t xml:space="preserve">; also see </w:t>
      </w:r>
      <w:r w:rsidR="004D4BFD" w:rsidRPr="00A53CD3">
        <w:rPr>
          <w:i/>
        </w:rPr>
        <w:t>SOP Instructions</w:t>
      </w:r>
      <w:r w:rsidR="004D4BFD">
        <w:t xml:space="preserve"> document)</w:t>
      </w:r>
      <w:r w:rsidR="004D4BFD" w:rsidRPr="00017BA4">
        <w:t xml:space="preserve">. Please refer to the </w:t>
      </w:r>
      <w:hyperlink r:id="rId15" w:history="1">
        <w:r w:rsidR="004D4BFD">
          <w:rPr>
            <w:rStyle w:val="Hyperlink"/>
          </w:rPr>
          <w:t>CHP</w:t>
        </w:r>
      </w:hyperlink>
      <w:r w:rsidR="004D4BFD" w:rsidRPr="00017BA4">
        <w:t xml:space="preserve"> (Sections 6 and 8</w:t>
      </w:r>
      <w:r w:rsidR="004D4BFD" w:rsidRPr="00017BA4">
        <w:rPr>
          <w:vertAlign w:val="superscript"/>
        </w:rPr>
        <w:footnoteReference w:id="1"/>
      </w:r>
      <w:r w:rsidR="004D4BFD" w:rsidRPr="00017BA4">
        <w:t>) for more information on the classification and identification of PHS, and safe practices for working with these materials.</w:t>
      </w:r>
      <w:r>
        <w:t xml:space="preserve"> </w:t>
      </w:r>
    </w:p>
    <w:p w:rsidR="00D3311D" w:rsidRDefault="00D3311D" w:rsidP="00D3311D">
      <w:pPr>
        <w:pStyle w:val="DHWHanging1"/>
      </w:pPr>
      <w:r>
        <w:t>Specific substances</w:t>
      </w:r>
      <w:r>
        <w:tab/>
      </w:r>
      <w:r w:rsidRPr="00A01A55">
        <w:rPr>
          <w:highlight w:val="yellow"/>
        </w:rPr>
        <w:t xml:space="preserve">[Add details of specific substances you will be using in the lab under </w:t>
      </w:r>
      <w:r>
        <w:rPr>
          <w:highlight w:val="yellow"/>
        </w:rPr>
        <w:t>this SOP</w:t>
      </w:r>
      <w:r w:rsidR="004720CD">
        <w:rPr>
          <w:highlight w:val="yellow"/>
        </w:rPr>
        <w:t>, e.g. Sodium cyanide</w:t>
      </w:r>
      <w:r>
        <w:rPr>
          <w:highlight w:val="yellow"/>
        </w:rPr>
        <w:t>.</w:t>
      </w:r>
      <w:r>
        <w:t>]</w:t>
      </w:r>
    </w:p>
    <w:p w:rsidR="00B05A6E" w:rsidRDefault="00D3311D" w:rsidP="00B05A6E">
      <w:pPr>
        <w:pStyle w:val="DHWHanging1"/>
      </w:pPr>
      <w:r>
        <w:t>Designated work areas/signage</w:t>
      </w:r>
      <w:r>
        <w:tab/>
        <w:t>Work with cyanides</w:t>
      </w:r>
      <w:r w:rsidRPr="004A49AF">
        <w:t xml:space="preserve"> should be done at designa</w:t>
      </w:r>
      <w:r w:rsidR="00D11033">
        <w:t>ted areas within the lab (e.g. a chemical</w:t>
      </w:r>
      <w:r w:rsidRPr="004A49AF">
        <w:t xml:space="preserve"> fume hood) which should be signed “Warning</w:t>
      </w:r>
      <w:r w:rsidRPr="004A49AF">
        <w:rPr>
          <w:rFonts w:cs="Times New Roman"/>
        </w:rPr>
        <w:t>—</w:t>
      </w:r>
      <w:r>
        <w:t xml:space="preserve">Highly </w:t>
      </w:r>
      <w:r w:rsidR="006E523D">
        <w:t>Acute Toxicant</w:t>
      </w:r>
      <w:r w:rsidRPr="004A49AF">
        <w:t xml:space="preserve"> area” (or</w:t>
      </w:r>
      <w:r>
        <w:t xml:space="preserve"> equivalent wording). If highly hazardous work is being performed, additional signage giving the name of the responsible individual and contact number is also recommended.</w:t>
      </w:r>
      <w:r w:rsidR="00B05A6E">
        <w:t xml:space="preserve"> </w:t>
      </w:r>
    </w:p>
    <w:p w:rsidR="00D11033" w:rsidRDefault="00D11033" w:rsidP="00D11033">
      <w:pPr>
        <w:pStyle w:val="DHWIndent1"/>
      </w:pPr>
      <w:r>
        <w:t xml:space="preserve">Cyanides shall NOT be used in areas which do not have ready access to a safety shower/eyewash. For more detailed information about eye wash and safety shower requirements please reference the CHP (Section 4, Subsection </w:t>
      </w:r>
      <w:r w:rsidRPr="00844816">
        <w:rPr>
          <w:i/>
        </w:rPr>
        <w:t>Emergency Equipment and Supplies</w:t>
      </w:r>
      <w:r>
        <w:t xml:space="preserve">). </w:t>
      </w:r>
    </w:p>
    <w:p w:rsidR="00D3311D" w:rsidRDefault="009A4417" w:rsidP="00D11033">
      <w:pPr>
        <w:pStyle w:val="DHWHanging1"/>
      </w:pPr>
      <w:r w:rsidRPr="009A4417">
        <w:tab/>
      </w:r>
      <w:r w:rsidR="00D11033" w:rsidRPr="009A4417">
        <w:t xml:space="preserve"> </w:t>
      </w:r>
      <w:r w:rsidR="00D3311D" w:rsidRPr="002B7145">
        <w:rPr>
          <w:highlight w:val="yellow"/>
        </w:rPr>
        <w:t>[</w:t>
      </w:r>
      <w:r w:rsidR="00D3311D">
        <w:rPr>
          <w:highlight w:val="yellow"/>
        </w:rPr>
        <w:t>Add</w:t>
      </w:r>
      <w:r w:rsidR="00D3311D" w:rsidRPr="002B7145">
        <w:rPr>
          <w:highlight w:val="yellow"/>
        </w:rPr>
        <w:t xml:space="preserve"> </w:t>
      </w:r>
      <w:r w:rsidR="00D3311D">
        <w:rPr>
          <w:highlight w:val="yellow"/>
        </w:rPr>
        <w:t>lab-specific work area and signage information</w:t>
      </w:r>
      <w:r w:rsidR="00D3311D" w:rsidRPr="002B7145">
        <w:rPr>
          <w:highlight w:val="yellow"/>
        </w:rPr>
        <w:t xml:space="preserve"> here</w:t>
      </w:r>
      <w:r w:rsidR="00D3311D">
        <w:rPr>
          <w:highlight w:val="yellow"/>
        </w:rPr>
        <w:t>, if needed</w:t>
      </w:r>
      <w:r w:rsidR="00D3311D" w:rsidRPr="002B7145">
        <w:rPr>
          <w:highlight w:val="yellow"/>
        </w:rPr>
        <w:t>.]</w:t>
      </w:r>
    </w:p>
    <w:p w:rsidR="00D3311D" w:rsidRDefault="00D3311D" w:rsidP="00D3311D">
      <w:pPr>
        <w:pStyle w:val="DHWHanging1"/>
      </w:pPr>
      <w:r>
        <w:t>Unattended experiments</w:t>
      </w:r>
      <w:r>
        <w:tab/>
      </w:r>
      <w:proofErr w:type="gramStart"/>
      <w:r>
        <w:t>Unattended</w:t>
      </w:r>
      <w:proofErr w:type="gramEnd"/>
      <w:r>
        <w:t xml:space="preserve"> hazardous experiments should be signed according to the requirements of the </w:t>
      </w:r>
      <w:hyperlink r:id="rId16" w:history="1">
        <w:r w:rsidRPr="002D7DD7">
          <w:rPr>
            <w:rStyle w:val="Hyperlink"/>
          </w:rPr>
          <w:t>Unattended Experiments Fact Sheet</w:t>
        </w:r>
      </w:hyperlink>
      <w:r>
        <w:t xml:space="preserve">. </w:t>
      </w:r>
    </w:p>
    <w:p w:rsidR="00D13BD4" w:rsidRDefault="00FA7F93" w:rsidP="007A493B">
      <w:pPr>
        <w:pStyle w:val="DHWHanging1"/>
      </w:pPr>
      <w:r>
        <w:t>Storage Requirements</w:t>
      </w:r>
      <w:r>
        <w:tab/>
        <w:t xml:space="preserve">Cyanides should be stored under </w:t>
      </w:r>
      <w:r w:rsidR="00CD4268">
        <w:t xml:space="preserve">conditions of </w:t>
      </w:r>
      <w:r>
        <w:t xml:space="preserve">satisfactory physical security, preferably in </w:t>
      </w:r>
      <w:r w:rsidR="00D13BD4">
        <w:t xml:space="preserve">a locked cabinet in a </w:t>
      </w:r>
      <w:r>
        <w:t>restricted access</w:t>
      </w:r>
      <w:r w:rsidR="00D13BD4">
        <w:t xml:space="preserve"> room</w:t>
      </w:r>
      <w:r>
        <w:t xml:space="preserve">.  </w:t>
      </w:r>
      <w:r w:rsidRPr="00EA3F83">
        <w:rPr>
          <w:b/>
        </w:rPr>
        <w:t>Unauthorized personnel sh</w:t>
      </w:r>
      <w:r w:rsidR="00EA3F83" w:rsidRPr="00EA3F83">
        <w:rPr>
          <w:b/>
        </w:rPr>
        <w:t>all</w:t>
      </w:r>
      <w:r w:rsidRPr="00EA3F83">
        <w:rPr>
          <w:b/>
        </w:rPr>
        <w:t xml:space="preserve"> not have access to cyanides</w:t>
      </w:r>
      <w:r>
        <w:t xml:space="preserve">.  An access and usage log is highly recommended. </w:t>
      </w:r>
    </w:p>
    <w:p w:rsidR="0099477A" w:rsidRDefault="00D13BD4" w:rsidP="00CD4268">
      <w:pPr>
        <w:pStyle w:val="DHWHanging1"/>
      </w:pPr>
      <w:r>
        <w:tab/>
      </w:r>
      <w:r w:rsidR="00FA7F93" w:rsidRPr="0099477A">
        <w:t xml:space="preserve">Acute </w:t>
      </w:r>
      <w:r w:rsidRPr="0099477A">
        <w:t xml:space="preserve">toxicants, </w:t>
      </w:r>
      <w:r w:rsidR="00CD4268" w:rsidRPr="0099477A">
        <w:t>like cyanides, should be stored in label</w:t>
      </w:r>
      <w:r w:rsidR="00DD7263">
        <w:t>l</w:t>
      </w:r>
      <w:r w:rsidR="00CD4268" w:rsidRPr="0099477A">
        <w:t xml:space="preserve">ed secondary containment, </w:t>
      </w:r>
      <w:r w:rsidRPr="0099477A">
        <w:t xml:space="preserve">preferably </w:t>
      </w:r>
      <w:r w:rsidR="00CD4268" w:rsidRPr="0099477A">
        <w:t>enclosed by a tight fitting lid</w:t>
      </w:r>
      <w:r w:rsidRPr="0099477A">
        <w:t>.</w:t>
      </w:r>
      <w:r w:rsidR="00CD4268" w:rsidRPr="0099477A">
        <w:t xml:space="preserve"> Acute toxicants </w:t>
      </w:r>
      <w:r w:rsidR="00CD4268">
        <w:t>sh</w:t>
      </w:r>
      <w:r w:rsidR="0099477A">
        <w:t xml:space="preserve">all not be stored under </w:t>
      </w:r>
      <w:r w:rsidR="00A23E83">
        <w:t xml:space="preserve">a </w:t>
      </w:r>
      <w:r w:rsidR="0099477A">
        <w:t>sink and s</w:t>
      </w:r>
      <w:r w:rsidR="00CD4268">
        <w:t>egregat</w:t>
      </w:r>
      <w:r w:rsidR="0099477A">
        <w:t xml:space="preserve">ion of acute toxicants </w:t>
      </w:r>
      <w:r w:rsidR="00CD4268">
        <w:t xml:space="preserve">within a dedicated poisons cabinet may also be appropriate. </w:t>
      </w:r>
    </w:p>
    <w:p w:rsidR="00D13BD4" w:rsidRPr="0099477A" w:rsidRDefault="0099477A" w:rsidP="0099477A">
      <w:pPr>
        <w:pStyle w:val="DHWHanging1"/>
      </w:pPr>
      <w:r>
        <w:lastRenderedPageBreak/>
        <w:tab/>
        <w:t>Acute toxicants</w:t>
      </w:r>
      <w:r w:rsidR="00CD4268">
        <w:t xml:space="preserve"> should be stored </w:t>
      </w:r>
      <w:r w:rsidR="009D4EDE">
        <w:t>upright, below eye level and</w:t>
      </w:r>
      <w:r w:rsidR="00CD4268">
        <w:t xml:space="preserve"> in a well-ventilated area.  </w:t>
      </w:r>
      <w:r w:rsidR="00183485">
        <w:rPr>
          <w:b/>
        </w:rPr>
        <w:t>Keep acute toxicants</w:t>
      </w:r>
      <w:r w:rsidR="00CD4268" w:rsidRPr="0099477A">
        <w:rPr>
          <w:b/>
        </w:rPr>
        <w:t xml:space="preserve"> segregated from incompatibles (e.g. acids, strong oxidizing agents, carbon dioxide)</w:t>
      </w:r>
      <w:r w:rsidR="00CD4268">
        <w:t xml:space="preserve">. </w:t>
      </w:r>
    </w:p>
    <w:p w:rsidR="006862DC" w:rsidRDefault="00D13BD4" w:rsidP="0099477A">
      <w:pPr>
        <w:pStyle w:val="DHWHanging1"/>
      </w:pPr>
      <w:r>
        <w:tab/>
        <w:t xml:space="preserve">Inventories of very highly health hazardous chemicals should be kept to a minimum. Unused inventory should be disposed of as hazardous waste at the end of research projects, unless there is reasonable probability that the material will be required again within the next 6-12 months. </w:t>
      </w:r>
    </w:p>
    <w:p w:rsidR="002A0017" w:rsidRPr="002A0017" w:rsidRDefault="002A0017" w:rsidP="002A0017">
      <w:pPr>
        <w:pStyle w:val="DHWIndent1"/>
      </w:pPr>
      <w:r>
        <w:t xml:space="preserve">Please refer to the CHP (Section 7) for further information on storage and inventory-keeping requirements. </w:t>
      </w:r>
    </w:p>
    <w:p w:rsidR="00D3311D" w:rsidRDefault="00D3311D" w:rsidP="00D3311D">
      <w:pPr>
        <w:pStyle w:val="DHWHanging1"/>
      </w:pPr>
      <w:r>
        <w:t>Labelling</w:t>
      </w:r>
      <w:r>
        <w:tab/>
        <w:t>Cyanides not in active use shall be labelled to indicate the</w:t>
      </w:r>
      <w:r w:rsidR="00314BCD">
        <w:t xml:space="preserve"> hazard. Acute toxicant</w:t>
      </w:r>
      <w:r>
        <w:t xml:space="preserve"> storage areas (cupboards, shelves, or secondary containment) shall b</w:t>
      </w:r>
      <w:r w:rsidR="005F15C3">
        <w:t>e labelled “Danger! Acute Toxicants</w:t>
      </w:r>
      <w:r>
        <w:t xml:space="preserve">” (printable labels are available from the EH&amp;S website). </w:t>
      </w:r>
    </w:p>
    <w:p w:rsidR="005F15C3" w:rsidRDefault="005F15C3" w:rsidP="00D3311D">
      <w:pPr>
        <w:pStyle w:val="DHWHanging1"/>
      </w:pPr>
      <w:r>
        <w:tab/>
        <w:t xml:space="preserve">Please note: Hydrogen cyanide and cyanide salts are also </w:t>
      </w:r>
      <w:r w:rsidR="00183485">
        <w:t>regulated as reproductive toxicants</w:t>
      </w:r>
      <w:r>
        <w:t xml:space="preserve"> per Proposition 65. Thus, these materials shall also be labelled “Danger! Reproductive Toxicants” (printable labels are available from the EH&amp;S website).</w:t>
      </w:r>
    </w:p>
    <w:p w:rsidR="00AD5248" w:rsidRDefault="005F15C3" w:rsidP="005F15C3">
      <w:pPr>
        <w:pStyle w:val="DHWHanging1"/>
      </w:pPr>
      <w:r>
        <w:tab/>
        <w:t>Please refer to the CHP (Section 5) for detailed requirements for hazardous materials labelling.</w:t>
      </w:r>
    </w:p>
    <w:p w:rsidR="004001F1" w:rsidRDefault="004001F1" w:rsidP="004001F1">
      <w:pPr>
        <w:pStyle w:val="DHWHanging1"/>
      </w:pPr>
      <w:r>
        <w:t>Personal Protective Equipment</w:t>
      </w:r>
      <w:r>
        <w:tab/>
        <w:t xml:space="preserve">Appropriate PPE shall be worn for all work with hazardous materials, in accordance with the USC </w:t>
      </w:r>
      <w:hyperlink r:id="rId17" w:history="1">
        <w:r w:rsidRPr="00057A6E">
          <w:rPr>
            <w:rStyle w:val="Hyperlink"/>
          </w:rPr>
          <w:t>Minimum Standard</w:t>
        </w:r>
      </w:hyperlink>
      <w:r>
        <w:t xml:space="preserve">, </w:t>
      </w:r>
      <w:hyperlink r:id="rId18" w:history="1">
        <w:r w:rsidRPr="00671E98">
          <w:rPr>
            <w:rStyle w:val="Hyperlink"/>
          </w:rPr>
          <w:t>CHP</w:t>
        </w:r>
      </w:hyperlink>
      <w:r>
        <w:t xml:space="preserve">, and </w:t>
      </w:r>
      <w:hyperlink r:id="rId19" w:history="1">
        <w:r w:rsidRPr="002A30A4">
          <w:rPr>
            <w:rStyle w:val="Hyperlink"/>
          </w:rPr>
          <w:t>fact sheets</w:t>
        </w:r>
      </w:hyperlink>
      <w:r>
        <w:t>. Most commonly, research lab PPE consists of a lab coat, eye protection (safety glasses; goggles required if there is a splash hazard) and chemical protective gloves. A face shield may be needed in addition to goggles for severe splash hazards. Note that</w:t>
      </w:r>
      <w:r w:rsidRPr="002A30A4">
        <w:t xml:space="preserve"> </w:t>
      </w:r>
      <w:r>
        <w:t xml:space="preserve">for reasons of safety and regulatory compliance, respirator usage is NOT permitted outside of the </w:t>
      </w:r>
      <w:hyperlink r:id="rId20" w:history="1">
        <w:r w:rsidRPr="002A30A4">
          <w:rPr>
            <w:rStyle w:val="Hyperlink"/>
          </w:rPr>
          <w:t>USC Respiratory Protection Program</w:t>
        </w:r>
      </w:hyperlink>
      <w:r>
        <w:t xml:space="preserve">. Please refer to the CHP (Section 8) and </w:t>
      </w:r>
      <w:hyperlink r:id="rId21" w:history="1">
        <w:r w:rsidRPr="00057A6E">
          <w:rPr>
            <w:rStyle w:val="Hyperlink"/>
          </w:rPr>
          <w:t>EH&amp;S Fact Sheets</w:t>
        </w:r>
      </w:hyperlink>
      <w:r>
        <w:t xml:space="preserve"> for additional information about PPE requirements.</w:t>
      </w:r>
    </w:p>
    <w:p w:rsidR="004001F1" w:rsidRDefault="004001F1" w:rsidP="004001F1">
      <w:pPr>
        <w:pStyle w:val="DHWIndent1"/>
      </w:pP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PPE rules/requirements.]</w:t>
      </w:r>
    </w:p>
    <w:p w:rsidR="00185D06" w:rsidRDefault="00D3311D" w:rsidP="00D3311D">
      <w:pPr>
        <w:pStyle w:val="DHWHanging1"/>
      </w:pPr>
      <w:r>
        <w:t>Exposure control</w:t>
      </w:r>
      <w:r>
        <w:tab/>
      </w:r>
      <w:proofErr w:type="gramStart"/>
      <w:r>
        <w:t>To</w:t>
      </w:r>
      <w:proofErr w:type="gramEnd"/>
      <w:r>
        <w:t xml:space="preserve"> prevent exposure of personnel, </w:t>
      </w:r>
      <w:r w:rsidRPr="00E8171E">
        <w:t>appropriate engineeri</w:t>
      </w:r>
      <w:r w:rsidR="005F6287" w:rsidRPr="00E8171E">
        <w:t>ng safety controls (e.g. a chemical f</w:t>
      </w:r>
      <w:r w:rsidRPr="00E8171E">
        <w:t xml:space="preserve">ume hood) shall be used for all work </w:t>
      </w:r>
      <w:r w:rsidR="00185D06" w:rsidRPr="00E8171E">
        <w:t xml:space="preserve">with cyanide powders, concentrated solutions or any situation when hydrogen cyanide or other volatile gases are produced. </w:t>
      </w:r>
      <w:r w:rsidR="0033135B">
        <w:t>Keep acids out of the chemical fume hood unless</w:t>
      </w:r>
      <w:r w:rsidR="0086533A">
        <w:t xml:space="preserve"> needed for </w:t>
      </w:r>
      <w:r w:rsidR="00407D35">
        <w:t>the</w:t>
      </w:r>
      <w:r w:rsidR="0033135B" w:rsidRPr="0033135B">
        <w:t xml:space="preserve"> experiment. If needed, keep quantity to a minimum.</w:t>
      </w:r>
    </w:p>
    <w:p w:rsidR="00D3311D" w:rsidRDefault="00185D06" w:rsidP="00D3311D">
      <w:pPr>
        <w:pStyle w:val="DHWHanging1"/>
      </w:pPr>
      <w:r>
        <w:lastRenderedPageBreak/>
        <w:tab/>
      </w:r>
      <w:r w:rsidR="00D3311D">
        <w:t xml:space="preserve">Please consult the CHP </w:t>
      </w:r>
      <w:r>
        <w:t xml:space="preserve">(Section 8) </w:t>
      </w:r>
      <w:r w:rsidR="00D3311D">
        <w:t>for detailed information on engineering safety controls.</w:t>
      </w:r>
      <w:r w:rsidR="00AD5248" w:rsidRPr="00AD5248">
        <w:rPr>
          <w:color w:val="FF0000"/>
        </w:rPr>
        <w:t xml:space="preserve"> </w:t>
      </w:r>
    </w:p>
    <w:p w:rsidR="00D3311D" w:rsidRDefault="00D3311D" w:rsidP="00D3311D">
      <w:pPr>
        <w:pStyle w:val="DHWHanging1"/>
        <w:rPr>
          <w:shd w:val="clear" w:color="auto" w:fill="FFFFFF"/>
        </w:rPr>
      </w:pPr>
      <w:r>
        <w:t>Decontamination</w:t>
      </w:r>
      <w:r>
        <w:tab/>
        <w:t xml:space="preserve">All </w:t>
      </w:r>
      <w:r w:rsidRPr="00453A63">
        <w:t xml:space="preserve">work areas and equipment is to be cleaned </w:t>
      </w:r>
      <w:r w:rsidR="00453A63" w:rsidRPr="00453A63">
        <w:t xml:space="preserve">and decontaminated after use, </w:t>
      </w:r>
      <w:r w:rsidR="00453A63" w:rsidRPr="00453A63">
        <w:rPr>
          <w:shd w:val="clear" w:color="auto" w:fill="FFFFFF"/>
        </w:rPr>
        <w:t>first with use of a pH 10 buffer solution, followed by cleaning with a freshly prepared 10% bleach solution.</w:t>
      </w:r>
      <w:r w:rsidR="00C40D37">
        <w:rPr>
          <w:shd w:val="clear" w:color="auto" w:fill="FFFFFF"/>
        </w:rPr>
        <w:t xml:space="preserve"> Cleaning activities should be completed only within the</w:t>
      </w:r>
      <w:r w:rsidR="00A4729C">
        <w:rPr>
          <w:shd w:val="clear" w:color="auto" w:fill="FFFFFF"/>
        </w:rPr>
        <w:t xml:space="preserve"> chemical</w:t>
      </w:r>
      <w:r w:rsidR="00C40D37">
        <w:rPr>
          <w:shd w:val="clear" w:color="auto" w:fill="FFFFFF"/>
        </w:rPr>
        <w:t xml:space="preserve"> fume hood. </w:t>
      </w:r>
    </w:p>
    <w:p w:rsidR="00A87D3A" w:rsidRDefault="00A87D3A" w:rsidP="00A87D3A">
      <w:pPr>
        <w:pStyle w:val="DHWIndent1"/>
      </w:pPr>
      <w:r>
        <w:t>Potentially contaminated PPE shall be removed before entering clean areas. Hands shall be washed before entering clean areas and after completion of work.</w:t>
      </w:r>
    </w:p>
    <w:p w:rsidR="00D3311D" w:rsidRDefault="00D3311D" w:rsidP="00D3311D">
      <w:pPr>
        <w:pStyle w:val="DHWIndent1"/>
      </w:pPr>
      <w:r w:rsidRPr="00A01A55">
        <w:rPr>
          <w:highlight w:val="yellow"/>
        </w:rPr>
        <w:t>[</w:t>
      </w:r>
      <w:r>
        <w:rPr>
          <w:highlight w:val="yellow"/>
        </w:rPr>
        <w:t xml:space="preserve">If </w:t>
      </w:r>
      <w:r w:rsidRPr="00A01A55">
        <w:rPr>
          <w:highlight w:val="yellow"/>
        </w:rPr>
        <w:t xml:space="preserve">specific </w:t>
      </w:r>
      <w:r>
        <w:rPr>
          <w:highlight w:val="yellow"/>
        </w:rPr>
        <w:t>decontamination/cleaning procedures are required</w:t>
      </w:r>
      <w:r w:rsidRPr="00A01A55">
        <w:rPr>
          <w:highlight w:val="yellow"/>
        </w:rPr>
        <w:t xml:space="preserve"> </w:t>
      </w:r>
      <w:r>
        <w:rPr>
          <w:highlight w:val="yellow"/>
        </w:rPr>
        <w:t>please enter details here.]</w:t>
      </w:r>
    </w:p>
    <w:p w:rsidR="00D3311D" w:rsidRDefault="00D3311D" w:rsidP="00D3311D">
      <w:pPr>
        <w:pStyle w:val="DHWHanging1"/>
      </w:pPr>
      <w:r>
        <w:t>Work practices</w:t>
      </w:r>
      <w:r>
        <w:tab/>
      </w:r>
      <w:r w:rsidRPr="006A0020">
        <w:rPr>
          <w:b/>
        </w:rPr>
        <w:t>Cyanides should not be handled while working alone</w:t>
      </w:r>
      <w:r>
        <w:t>.  Cyanides should be kept secured with a lock and access to the work and storage areas should be restricted.  Purchasing, working and storage quantities should be kept as small as possible.  Any unused materials should be immediately and appropriately disposed of</w:t>
      </w:r>
      <w:r w:rsidR="006A0020">
        <w:t xml:space="preserve"> as hazardous chemical waste.</w:t>
      </w:r>
    </w:p>
    <w:p w:rsidR="00D3311D" w:rsidRDefault="00D3311D" w:rsidP="00D3311D">
      <w:pPr>
        <w:pStyle w:val="DHWHanging1"/>
      </w:pPr>
      <w:r>
        <w:tab/>
        <w:t xml:space="preserve">Cyanide powders shall NOT be weighed in the open lab. Use a balance in a fume hood if possible. When preparing solutions, it is important to add small volumes of cyanide powder to large volumes of water (as opposed to adding small volumes of water to cyanide powder).  </w:t>
      </w:r>
    </w:p>
    <w:p w:rsidR="00D409F7" w:rsidRDefault="00D409F7" w:rsidP="00D409F7">
      <w:pPr>
        <w:pStyle w:val="DHWIndent1"/>
      </w:pPr>
      <w:r w:rsidRPr="00A01A55">
        <w:rPr>
          <w:highlight w:val="yellow"/>
        </w:rPr>
        <w:t xml:space="preserve">[Add details of specific </w:t>
      </w:r>
      <w:r>
        <w:rPr>
          <w:highlight w:val="yellow"/>
        </w:rPr>
        <w:t xml:space="preserve">work practices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 Work practices are rules which personnel are required to follow to be safe</w:t>
      </w:r>
      <w:bookmarkStart w:id="0" w:name="_Hlk521077148"/>
      <w:r>
        <w:rPr>
          <w:highlight w:val="yellow"/>
        </w:rPr>
        <w:t xml:space="preserve">, for example, that </w:t>
      </w:r>
      <w:bookmarkEnd w:id="0"/>
      <w:r>
        <w:rPr>
          <w:highlight w:val="yellow"/>
        </w:rPr>
        <w:t>certain procedures may not be done out-of-hours or alone. Work practices can also be a defined way of doing things</w:t>
      </w:r>
      <w:bookmarkStart w:id="1" w:name="_Hlk521077196"/>
      <w:r>
        <w:rPr>
          <w:highlight w:val="yellow"/>
        </w:rPr>
        <w:t xml:space="preserve">, for example, </w:t>
      </w:r>
      <w:bookmarkEnd w:id="1"/>
      <w:r>
        <w:rPr>
          <w:highlight w:val="yellow"/>
        </w:rPr>
        <w:t>diluting concentrated acids by pouring the acid slowly into water while stirring, with a prohibition on pouring water into the acid.</w:t>
      </w:r>
      <w:r w:rsidRPr="00A01A55">
        <w:rPr>
          <w:highlight w:val="yellow"/>
        </w:rPr>
        <w:t>]</w:t>
      </w:r>
    </w:p>
    <w:p w:rsidR="00A60674" w:rsidRPr="00A60674" w:rsidRDefault="00D3311D" w:rsidP="00D3311D">
      <w:pPr>
        <w:pStyle w:val="DHWHanging1"/>
      </w:pPr>
      <w:r>
        <w:t>Experimental procedures</w:t>
      </w:r>
      <w:r>
        <w:tab/>
      </w: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p w:rsidR="00A3203C" w:rsidRDefault="00A3203C" w:rsidP="00A3203C">
      <w:pPr>
        <w:pStyle w:val="DHWHanging1"/>
      </w:pPr>
      <w:r>
        <w:t>Waste disposal</w:t>
      </w:r>
      <w:r>
        <w:tab/>
        <w:t>Contaminated materials shall be disposed as hazardous chemical waste. Please follow all EH&amp;S directions (</w:t>
      </w:r>
      <w:hyperlink r:id="rId22" w:history="1">
        <w:r w:rsidRPr="00777640">
          <w:rPr>
            <w:rStyle w:val="Hyperlink"/>
          </w:rPr>
          <w:t>hazmat webpages</w:t>
        </w:r>
      </w:hyperlink>
      <w:r>
        <w:t xml:space="preserve">, </w:t>
      </w:r>
      <w:hyperlink r:id="rId23" w:history="1">
        <w:r w:rsidRPr="003546A6">
          <w:rPr>
            <w:rStyle w:val="Hyperlink"/>
          </w:rPr>
          <w:t>fact sheets</w:t>
        </w:r>
      </w:hyperlink>
      <w:r>
        <w:t xml:space="preserve">, </w:t>
      </w:r>
      <w:hyperlink r:id="rId24" w:history="1">
        <w:r w:rsidRPr="00057A6E">
          <w:rPr>
            <w:rStyle w:val="Hyperlink"/>
          </w:rPr>
          <w:t>CHP</w:t>
        </w:r>
      </w:hyperlink>
      <w:r>
        <w:t xml:space="preserve">). Please email </w:t>
      </w:r>
      <w:hyperlink r:id="rId25" w:history="1">
        <w:r w:rsidRPr="00230793">
          <w:rPr>
            <w:rStyle w:val="Hyperlink"/>
          </w:rPr>
          <w:t>hazmat@usc.edu</w:t>
        </w:r>
      </w:hyperlink>
      <w:r>
        <w:t xml:space="preserve"> if you have questions that are not answered by EH&amp;S online resources.</w:t>
      </w:r>
    </w:p>
    <w:p w:rsidR="00A3203C" w:rsidRDefault="00A3203C" w:rsidP="00A3203C">
      <w:pPr>
        <w:pStyle w:val="DHWIndent1"/>
      </w:pPr>
      <w:r w:rsidRPr="00A01A55">
        <w:rPr>
          <w:highlight w:val="yellow"/>
        </w:rPr>
        <w:t xml:space="preserve">[Add details of </w:t>
      </w:r>
      <w:r>
        <w:rPr>
          <w:highlight w:val="yellow"/>
        </w:rPr>
        <w:t>any lab-specific waste disposal rules.</w:t>
      </w:r>
      <w:r w:rsidRPr="00A01A55">
        <w:rPr>
          <w:highlight w:val="yellow"/>
        </w:rPr>
        <w:t>]</w:t>
      </w:r>
    </w:p>
    <w:p w:rsidR="00851C19" w:rsidRDefault="00A3203C" w:rsidP="00851C19">
      <w:pPr>
        <w:pStyle w:val="DHWHanging1"/>
      </w:pPr>
      <w:r>
        <w:t>Spill response</w:t>
      </w:r>
      <w:r>
        <w:tab/>
      </w:r>
      <w:proofErr w:type="gramStart"/>
      <w:r w:rsidR="00851C19" w:rsidRPr="00851C19">
        <w:rPr>
          <w:b/>
          <w:color w:val="FF0000"/>
        </w:rPr>
        <w:t>The</w:t>
      </w:r>
      <w:proofErr w:type="gramEnd"/>
      <w:r w:rsidR="00851C19" w:rsidRPr="00851C19">
        <w:rPr>
          <w:b/>
          <w:color w:val="FF0000"/>
        </w:rPr>
        <w:t xml:space="preserve"> high toxicity posed by cyanide compounds makes it inadvisable for lab personnel to attempt to clean up any substantial cyanide spill.</w:t>
      </w:r>
      <w:r w:rsidR="00851C19">
        <w:t xml:space="preserve"> If properly trained, l</w:t>
      </w:r>
      <w:r w:rsidR="00851C19" w:rsidRPr="00BE4412">
        <w:t xml:space="preserve">ab personnel should not </w:t>
      </w:r>
      <w:r w:rsidR="00851C19" w:rsidRPr="00BE4412">
        <w:lastRenderedPageBreak/>
        <w:t>attempt t</w:t>
      </w:r>
      <w:r w:rsidR="00851C19">
        <w:t>o clean up more than a few drops. Call DPS and request Hazmat. If safe to do so, place absorbent on and around the spill to prevent it from spr</w:t>
      </w:r>
      <w:r w:rsidR="00851C19" w:rsidRPr="00846D5D">
        <w:t xml:space="preserve">eading </w:t>
      </w:r>
      <w:r w:rsidR="00851C19" w:rsidRPr="00846D5D">
        <w:rPr>
          <w:rFonts w:cs="Times New Roman"/>
        </w:rPr>
        <w:t>—</w:t>
      </w:r>
      <w:r w:rsidR="00851C19">
        <w:t xml:space="preserve"> this will make subsequent clean-up by Hazmat quicker and safer.</w:t>
      </w:r>
    </w:p>
    <w:p w:rsidR="00D9612E" w:rsidRPr="00851C19" w:rsidRDefault="00851C19" w:rsidP="00851C19">
      <w:pPr>
        <w:pStyle w:val="DHWHanging1"/>
        <w:rPr>
          <w:b/>
        </w:rPr>
      </w:pPr>
      <w:r>
        <w:tab/>
      </w:r>
      <w:r w:rsidR="00D9612E" w:rsidRPr="00851C19">
        <w:rPr>
          <w:b/>
          <w:color w:val="FF0000"/>
        </w:rPr>
        <w:t xml:space="preserve">Any significant cyanide spill outside of a </w:t>
      </w:r>
      <w:r w:rsidR="00BE4412" w:rsidRPr="00851C19">
        <w:rPr>
          <w:b/>
          <w:color w:val="FF0000"/>
        </w:rPr>
        <w:t xml:space="preserve">chemical </w:t>
      </w:r>
      <w:r w:rsidR="00D9612E" w:rsidRPr="00851C19">
        <w:rPr>
          <w:b/>
          <w:color w:val="FF0000"/>
        </w:rPr>
        <w:t xml:space="preserve">fume hood should be cause for immediate evacuation. </w:t>
      </w:r>
    </w:p>
    <w:p w:rsidR="005D3070" w:rsidRPr="000813B9" w:rsidRDefault="00D9612E" w:rsidP="005D3070">
      <w:pPr>
        <w:pStyle w:val="DHWHanging1"/>
      </w:pPr>
      <w:r>
        <w:tab/>
      </w:r>
      <w:r w:rsidR="005D3070">
        <w:t xml:space="preserve">Chemical spill clean-up shall not be attempted if lab personnel do not have proper training and experience, necessary spill kit supplies, and/or appropriate personal protective equipment. </w:t>
      </w:r>
      <w:r w:rsidR="005D3070">
        <w:rPr>
          <w:b/>
          <w:bCs/>
        </w:rPr>
        <w:t xml:space="preserve">Before starting work, review the </w:t>
      </w:r>
      <w:hyperlink r:id="rId26" w:history="1">
        <w:r w:rsidR="005D3070" w:rsidRPr="000813B9">
          <w:rPr>
            <w:rStyle w:val="Hyperlink"/>
            <w:b/>
            <w:bCs/>
            <w:iCs/>
            <w:szCs w:val="28"/>
          </w:rPr>
          <w:t>Spill Response and Clean-Up</w:t>
        </w:r>
      </w:hyperlink>
      <w:r w:rsidR="005D3070">
        <w:rPr>
          <w:b/>
          <w:bCs/>
        </w:rPr>
        <w:t xml:space="preserve"> web page and Section 10 of the </w:t>
      </w:r>
      <w:hyperlink r:id="rId27" w:history="1">
        <w:r w:rsidR="005D3070" w:rsidRPr="000813B9">
          <w:rPr>
            <w:rStyle w:val="Hyperlink"/>
            <w:b/>
            <w:bCs/>
            <w:iCs/>
            <w:szCs w:val="28"/>
          </w:rPr>
          <w:t>CHP</w:t>
        </w:r>
      </w:hyperlink>
      <w:r w:rsidR="005D3070" w:rsidRPr="000813B9">
        <w:rPr>
          <w:b/>
          <w:bCs/>
          <w:sz w:val="22"/>
        </w:rPr>
        <w:t xml:space="preserve">. </w:t>
      </w:r>
      <w:r w:rsidR="005D3070">
        <w:rPr>
          <w:b/>
          <w:bCs/>
        </w:rPr>
        <w:t>All personnel operating under this SOP shall familiarize themselves with this information and shall re-review these references at least annually.</w:t>
      </w:r>
    </w:p>
    <w:p w:rsidR="005D3070" w:rsidRDefault="005D3070" w:rsidP="005D3070">
      <w:pPr>
        <w:pStyle w:val="DHWIndent1"/>
        <w:rPr>
          <w:color w:val="000000"/>
        </w:rPr>
      </w:pPr>
      <w:r>
        <w:t xml:space="preserve">Please refer to the EH&amp;S </w:t>
      </w:r>
      <w:hyperlink r:id="rId28" w:history="1">
        <w:r w:rsidRPr="000813B9">
          <w:rPr>
            <w:rStyle w:val="Hyperlink"/>
            <w:iCs/>
            <w:szCs w:val="28"/>
          </w:rPr>
          <w:t>Chemical Spill Kit Guide Sheet</w:t>
        </w:r>
      </w:hyperlink>
      <w:r w:rsidRPr="000813B9">
        <w:rPr>
          <w:sz w:val="22"/>
        </w:rPr>
        <w:t xml:space="preserve"> </w:t>
      </w:r>
      <w:r>
        <w:t xml:space="preserve">for guidance on appropriate spill kit materials. </w:t>
      </w:r>
    </w:p>
    <w:p w:rsidR="00A3203C" w:rsidRPr="006C1AEC" w:rsidRDefault="005D3070" w:rsidP="005D3070">
      <w:pPr>
        <w:pStyle w:val="DHWHanging1"/>
      </w:pPr>
      <w:r>
        <w:rPr>
          <w:b/>
          <w:color w:val="FF0000"/>
        </w:rPr>
        <w:tab/>
      </w:r>
      <w:r w:rsidR="00A3203C" w:rsidRPr="006C1AEC">
        <w:rPr>
          <w:b/>
          <w:color w:val="FF0000"/>
        </w:rPr>
        <w:t>Call DPS for all spills, even if they get cleaned up by lab personnel.</w:t>
      </w:r>
      <w:r w:rsidR="00A3203C" w:rsidRPr="006C1AEC">
        <w:rPr>
          <w:b/>
        </w:rPr>
        <w:t xml:space="preserve"> </w:t>
      </w:r>
      <w:r w:rsidR="00A3203C" w:rsidRPr="006C1AEC">
        <w:t xml:space="preserve">DPS </w:t>
      </w:r>
      <w:r w:rsidR="00A3203C">
        <w:t>will pass information to the EH&amp;S and Hazmat on-call system. If needed, trained staff will be sent to the lab to clean and decontaminate the spill. If lab personnel clean the spill themselves, notification should still be made as lab safety specialists may wish to follow up with a routine safety investigation.</w:t>
      </w:r>
    </w:p>
    <w:p w:rsidR="00CD00F6" w:rsidRPr="00032238" w:rsidRDefault="00A3203C" w:rsidP="00032238">
      <w:pPr>
        <w:pStyle w:val="DHWIndent1"/>
        <w:rPr>
          <w:b/>
          <w:color w:val="FF0000"/>
        </w:rPr>
      </w:pPr>
      <w:r w:rsidRPr="001E2662">
        <w:rPr>
          <w:b/>
          <w:color w:val="FF0000"/>
        </w:rPr>
        <w:t xml:space="preserve">Spills posing a respiratory hazard SHALL NOT be cleaned by lab personnel. Evacuate the area, restrict access, </w:t>
      </w:r>
      <w:proofErr w:type="gramStart"/>
      <w:r w:rsidRPr="001E2662">
        <w:rPr>
          <w:b/>
          <w:color w:val="FF0000"/>
        </w:rPr>
        <w:t>call</w:t>
      </w:r>
      <w:proofErr w:type="gramEnd"/>
      <w:r w:rsidRPr="001E2662">
        <w:rPr>
          <w:b/>
          <w:color w:val="FF0000"/>
        </w:rPr>
        <w:t xml:space="preserve"> DPS.</w:t>
      </w:r>
      <w:r w:rsidR="00B05A6E">
        <w:tab/>
      </w:r>
    </w:p>
    <w:p w:rsidR="00213726" w:rsidRDefault="00A520BF" w:rsidP="00A520BF">
      <w:pPr>
        <w:pStyle w:val="DHWHanging1"/>
      </w:pPr>
      <w:r>
        <w:t xml:space="preserve">Cyanide first aid: Skin exposure </w:t>
      </w:r>
      <w:r w:rsidR="00A3203C">
        <w:tab/>
      </w:r>
      <w:r w:rsidRPr="008370DB">
        <w:rPr>
          <w:b/>
        </w:rPr>
        <w:t>Speedy and thorough decontamination is essential!</w:t>
      </w:r>
      <w:r>
        <w:rPr>
          <w:b/>
        </w:rPr>
        <w:t xml:space="preserve"> </w:t>
      </w:r>
      <w:r w:rsidRPr="008370DB">
        <w:rPr>
          <w:b/>
          <w:color w:val="FF0000"/>
          <w:u w:val="single"/>
        </w:rPr>
        <w:t>Immediately</w:t>
      </w:r>
      <w:r w:rsidRPr="008370DB">
        <w:rPr>
          <w:b/>
          <w:color w:val="FF0000"/>
        </w:rPr>
        <w:t xml:space="preserve"> remove all contaminated clothing — do</w:t>
      </w:r>
      <w:r>
        <w:rPr>
          <w:b/>
          <w:color w:val="FF0000"/>
        </w:rPr>
        <w:t xml:space="preserve"> not worry about modesty, cyanide</w:t>
      </w:r>
      <w:r w:rsidRPr="008370DB">
        <w:rPr>
          <w:b/>
          <w:color w:val="FF0000"/>
        </w:rPr>
        <w:t xml:space="preserve"> </w:t>
      </w:r>
      <w:r w:rsidR="00C52885">
        <w:rPr>
          <w:b/>
          <w:color w:val="FF0000"/>
        </w:rPr>
        <w:t xml:space="preserve">exposure </w:t>
      </w:r>
      <w:r w:rsidRPr="008370DB">
        <w:rPr>
          <w:b/>
          <w:color w:val="FF0000"/>
        </w:rPr>
        <w:t>can kill you!</w:t>
      </w:r>
      <w:r>
        <w:rPr>
          <w:color w:val="FF0000"/>
        </w:rPr>
        <w:t xml:space="preserve"> </w:t>
      </w:r>
      <w:r w:rsidRPr="00CA3F57">
        <w:rPr>
          <w:b/>
          <w:u w:val="single"/>
        </w:rPr>
        <w:t>Immediately</w:t>
      </w:r>
      <w:r>
        <w:rPr>
          <w:b/>
        </w:rPr>
        <w:t xml:space="preserve"> w</w:t>
      </w:r>
      <w:r w:rsidRPr="00CA3F57">
        <w:rPr>
          <w:b/>
        </w:rPr>
        <w:t>ash all contaminated areas with lots of water— use safety shower/drench hose.</w:t>
      </w:r>
      <w:r>
        <w:t xml:space="preserve"> </w:t>
      </w:r>
    </w:p>
    <w:p w:rsidR="00A520BF" w:rsidRDefault="00213726" w:rsidP="00A520BF">
      <w:pPr>
        <w:pStyle w:val="DHWHanging1"/>
      </w:pPr>
      <w:r>
        <w:tab/>
      </w:r>
      <w:r w:rsidR="00A520BF">
        <w:t xml:space="preserve">If the face/head is contaminated, goggles are worn, and there is nothing in the eyes, use the following procedure: Close the eyes tightly, wash face/head under safety shower, remove goggles (still keeping eyes closed and face under safety shower), wash face and head again </w:t>
      </w:r>
      <w:r w:rsidR="00A520BF" w:rsidRPr="005156AF">
        <w:rPr>
          <w:u w:val="single"/>
        </w:rPr>
        <w:t>thoroughly</w:t>
      </w:r>
      <w:r w:rsidR="00A520BF">
        <w:t xml:space="preserve"> before opening eyes. </w:t>
      </w:r>
    </w:p>
    <w:p w:rsidR="008534BD" w:rsidRDefault="008534BD" w:rsidP="008534BD">
      <w:pPr>
        <w:pStyle w:val="DHWIndent1"/>
      </w:pPr>
      <w:r>
        <w:t xml:space="preserve">While safety equipment is being utilized, colleagues should </w:t>
      </w:r>
      <w:r w:rsidRPr="00CA3F57">
        <w:rPr>
          <w:b/>
        </w:rPr>
        <w:t>phone DPS requesting emergency medical assistance.</w:t>
      </w:r>
      <w:r w:rsidRPr="008534BD">
        <w:t xml:space="preserve"> </w:t>
      </w:r>
      <w:r>
        <w:t xml:space="preserve">Give a copy of the SDS to medical responders. </w:t>
      </w:r>
    </w:p>
    <w:p w:rsidR="00A520BF" w:rsidRDefault="00A520BF" w:rsidP="00A520BF">
      <w:pPr>
        <w:pStyle w:val="DHWHanging1"/>
      </w:pPr>
      <w:r>
        <w:lastRenderedPageBreak/>
        <w:t>Cyanide first aid: Eye exposure</w:t>
      </w:r>
      <w:r>
        <w:tab/>
      </w:r>
      <w:proofErr w:type="gramStart"/>
      <w:r w:rsidRPr="007A797A">
        <w:rPr>
          <w:b/>
          <w:u w:val="single"/>
        </w:rPr>
        <w:t>Immediately</w:t>
      </w:r>
      <w:proofErr w:type="gramEnd"/>
      <w:r w:rsidRPr="00CA3F57">
        <w:rPr>
          <w:b/>
        </w:rPr>
        <w:t xml:space="preserve"> use eyewash for at least 15 min, holding eyelids open, wash underneath eyelids, and roll eye</w:t>
      </w:r>
      <w:r>
        <w:rPr>
          <w:b/>
        </w:rPr>
        <w:t>s</w:t>
      </w:r>
      <w:r w:rsidRPr="00CA3F57">
        <w:rPr>
          <w:b/>
        </w:rPr>
        <w:t xml:space="preserve"> around</w:t>
      </w:r>
      <w:r>
        <w:rPr>
          <w:b/>
        </w:rPr>
        <w:t xml:space="preserve"> in all directions</w:t>
      </w:r>
      <w:r w:rsidRPr="00CA3F57">
        <w:rPr>
          <w:b/>
        </w:rPr>
        <w:t>.</w:t>
      </w:r>
    </w:p>
    <w:p w:rsidR="00CD00F6" w:rsidRDefault="00A520BF" w:rsidP="008534BD">
      <w:pPr>
        <w:pStyle w:val="DHWIndent1"/>
        <w:rPr>
          <w:color w:val="FF0000"/>
        </w:rPr>
      </w:pPr>
      <w:r>
        <w:t>While eyes are being washed, colleague</w:t>
      </w:r>
      <w:r w:rsidR="00E24E5F">
        <w:t>s</w:t>
      </w:r>
      <w:r>
        <w:t xml:space="preserve"> should </w:t>
      </w:r>
      <w:r w:rsidRPr="00CA3F57">
        <w:rPr>
          <w:b/>
        </w:rPr>
        <w:t>phone DPS requesting emergency medical assistance.</w:t>
      </w:r>
      <w:r w:rsidR="008534BD">
        <w:rPr>
          <w:b/>
        </w:rPr>
        <w:t xml:space="preserve"> </w:t>
      </w:r>
      <w:r w:rsidR="008534BD">
        <w:t xml:space="preserve">Give a copy of the SDS to medical responders. </w:t>
      </w:r>
    </w:p>
    <w:p w:rsidR="005D3070" w:rsidRDefault="00A520BF" w:rsidP="005D3070">
      <w:pPr>
        <w:pStyle w:val="DHWHanging1"/>
        <w:rPr>
          <w:b/>
        </w:rPr>
      </w:pPr>
      <w:r>
        <w:t>Emergency response</w:t>
      </w:r>
      <w:r>
        <w:tab/>
      </w:r>
      <w:r w:rsidR="005D3070" w:rsidRPr="00312C61">
        <w:rPr>
          <w:b/>
          <w:u w:val="single"/>
        </w:rPr>
        <w:t>Before</w:t>
      </w:r>
      <w:r w:rsidR="005D3070" w:rsidRPr="00312C61">
        <w:rPr>
          <w:b/>
        </w:rPr>
        <w:t xml:space="preserve"> starting work, </w:t>
      </w:r>
      <w:r w:rsidR="005D3070">
        <w:rPr>
          <w:b/>
        </w:rPr>
        <w:t xml:space="preserve">review the </w:t>
      </w:r>
      <w:hyperlink r:id="rId29" w:history="1">
        <w:r w:rsidR="00250E0A">
          <w:rPr>
            <w:rStyle w:val="Hyperlink"/>
            <w:b/>
            <w:bCs/>
          </w:rPr>
          <w:t>Non-Life-Threatening Workplace Injury or Illness webpage</w:t>
        </w:r>
      </w:hyperlink>
      <w:r w:rsidR="00CC36A9">
        <w:rPr>
          <w:b/>
          <w:bCs/>
        </w:rPr>
        <w:t xml:space="preserve">, </w:t>
      </w:r>
      <w:hyperlink r:id="rId30" w:history="1">
        <w:r w:rsidR="00CC36A9" w:rsidRPr="003116F5">
          <w:rPr>
            <w:rStyle w:val="Hyperlink"/>
            <w:b/>
          </w:rPr>
          <w:t>EH&amp;S emergency webpage</w:t>
        </w:r>
      </w:hyperlink>
      <w:r w:rsidR="00CC36A9" w:rsidRPr="00CD0596">
        <w:rPr>
          <w:rStyle w:val="Hyperlink"/>
          <w:b/>
          <w:color w:val="auto"/>
          <w:u w:val="none"/>
        </w:rPr>
        <w:t>,</w:t>
      </w:r>
      <w:r w:rsidR="005D3070">
        <w:rPr>
          <w:b/>
          <w:bCs/>
        </w:rPr>
        <w:t xml:space="preserve"> </w:t>
      </w:r>
      <w:r w:rsidR="005D3070">
        <w:rPr>
          <w:b/>
        </w:rPr>
        <w:t>and</w:t>
      </w:r>
      <w:r w:rsidR="005D3070" w:rsidRPr="00312C61">
        <w:rPr>
          <w:b/>
        </w:rPr>
        <w:t xml:space="preserve"> the </w:t>
      </w:r>
      <w:hyperlink r:id="rId31" w:history="1">
        <w:r w:rsidR="005D3070" w:rsidRPr="001F0138">
          <w:rPr>
            <w:rStyle w:val="Hyperlink"/>
            <w:b/>
          </w:rPr>
          <w:t>1-2-3 poster</w:t>
        </w:r>
      </w:hyperlink>
      <w:r w:rsidR="005D3070">
        <w:rPr>
          <w:b/>
        </w:rPr>
        <w:t>. Ensure that the 1-2-3 poster</w:t>
      </w:r>
      <w:r w:rsidR="005D3070" w:rsidRPr="00312C61">
        <w:rPr>
          <w:b/>
        </w:rPr>
        <w:t xml:space="preserve"> </w:t>
      </w:r>
      <w:r w:rsidR="005D3070">
        <w:rPr>
          <w:b/>
        </w:rPr>
        <w:t>is</w:t>
      </w:r>
      <w:r w:rsidR="005D3070" w:rsidRPr="00312C61">
        <w:rPr>
          <w:b/>
        </w:rPr>
        <w:t xml:space="preserve"> posted in the lab.</w:t>
      </w:r>
      <w:r w:rsidR="005D3070">
        <w:t xml:space="preserve"> </w:t>
      </w:r>
      <w:r w:rsidR="005D3070" w:rsidRPr="00312C61">
        <w:rPr>
          <w:b/>
        </w:rPr>
        <w:t>All personnel operating under this SOP shall familiarize themselves with these documents</w:t>
      </w:r>
      <w:r w:rsidR="005D3070">
        <w:rPr>
          <w:b/>
        </w:rPr>
        <w:t xml:space="preserve"> and webpage</w:t>
      </w:r>
      <w:r w:rsidR="005D3070" w:rsidRPr="00312C61">
        <w:rPr>
          <w:b/>
        </w:rPr>
        <w:t>.</w:t>
      </w:r>
    </w:p>
    <w:p w:rsidR="00A3203C" w:rsidRDefault="005D3070" w:rsidP="005D3070">
      <w:pPr>
        <w:pStyle w:val="DHWHanging1"/>
      </w:pPr>
      <w:r>
        <w:rPr>
          <w:b/>
        </w:rPr>
        <w:tab/>
      </w:r>
      <w:r w:rsidR="00A3203C" w:rsidRPr="00312C61">
        <w:rPr>
          <w:b/>
        </w:rPr>
        <w:t xml:space="preserve">All personnel operating under this SOP shall have downloaded and read </w:t>
      </w:r>
      <w:r w:rsidR="00A3203C">
        <w:rPr>
          <w:b/>
        </w:rPr>
        <w:t>Section</w:t>
      </w:r>
      <w:r w:rsidR="00A3203C" w:rsidRPr="00312C61">
        <w:rPr>
          <w:b/>
        </w:rPr>
        <w:t xml:space="preserve"> 10 of the </w:t>
      </w:r>
      <w:hyperlink r:id="rId32" w:history="1">
        <w:r w:rsidR="00A3203C" w:rsidRPr="001F0138">
          <w:rPr>
            <w:rStyle w:val="Hyperlink"/>
            <w:b/>
          </w:rPr>
          <w:t>CHP</w:t>
        </w:r>
      </w:hyperlink>
      <w:r w:rsidR="00A3203C" w:rsidRPr="00312C61">
        <w:t xml:space="preserve"> (“</w:t>
      </w:r>
      <w:r w:rsidR="00A3203C" w:rsidRPr="00057A6E">
        <w:rPr>
          <w:i/>
        </w:rPr>
        <w:t>Emergency Response / Injury and Illness Reporting</w:t>
      </w:r>
      <w:r w:rsidR="00A3203C" w:rsidRPr="00312C61">
        <w:t xml:space="preserve">”). This </w:t>
      </w:r>
      <w:r w:rsidR="00A3203C">
        <w:t>section provides information on chemical exposure response, spill response, and injury reporting.</w:t>
      </w:r>
    </w:p>
    <w:p w:rsidR="005D3070" w:rsidRPr="00057A6E" w:rsidRDefault="005D3070" w:rsidP="005D3070">
      <w:pPr>
        <w:pStyle w:val="DHWIndent1"/>
        <w:rPr>
          <w:b/>
        </w:rPr>
      </w:pPr>
      <w:bookmarkStart w:id="2" w:name="_Hlk521077273"/>
      <w:r w:rsidRPr="00057A6E">
        <w:rPr>
          <w:b/>
          <w:color w:val="FF0000"/>
        </w:rPr>
        <w:t xml:space="preserve">The </w:t>
      </w:r>
      <w:r>
        <w:rPr>
          <w:b/>
          <w:color w:val="FF0000"/>
        </w:rPr>
        <w:t xml:space="preserve">non-life threatening workplace Injury or Illness web page, 1-2-3 poster, </w:t>
      </w:r>
      <w:r w:rsidRPr="00057A6E">
        <w:rPr>
          <w:b/>
          <w:color w:val="FF0000"/>
        </w:rPr>
        <w:t>CHP Section 10, and the EH&amp;S emergency webpage are hereby incorporated into this SOP by reference.</w:t>
      </w:r>
    </w:p>
    <w:p w:rsidR="00A3203C" w:rsidRPr="00312C61" w:rsidRDefault="00A3203C" w:rsidP="00A3203C">
      <w:pPr>
        <w:pStyle w:val="DHWIndent1"/>
        <w:rPr>
          <w:b/>
        </w:rPr>
      </w:pPr>
      <w:r w:rsidRPr="00312C61">
        <w:rPr>
          <w:b/>
        </w:rPr>
        <w:t xml:space="preserve">All personnel operating under this SOP shall have the DPS emergency number programed into their phone </w:t>
      </w:r>
      <w:r w:rsidRPr="00312C61">
        <w:t>(UPC 213-740-4321; HSC 323-442-1000).</w:t>
      </w:r>
    </w:p>
    <w:p w:rsidR="00AB52D4" w:rsidRDefault="00A3203C" w:rsidP="00A3203C">
      <w:pPr>
        <w:pStyle w:val="DHWIndent1"/>
        <w:rPr>
          <w:b/>
          <w:color w:val="FF0000"/>
        </w:rPr>
        <w:sectPr w:rsidR="00AB52D4" w:rsidSect="00667431">
          <w:headerReference w:type="default" r:id="rId33"/>
          <w:footerReference w:type="default" r:id="rId34"/>
          <w:footnotePr>
            <w:numFmt w:val="chicago"/>
            <w:numRestart w:val="eachPage"/>
          </w:footnotePr>
          <w:pgSz w:w="12240" w:h="15840"/>
          <w:pgMar w:top="1021" w:right="1021" w:bottom="1021" w:left="1021" w:header="720" w:footer="720" w:gutter="0"/>
          <w:cols w:space="720"/>
          <w:docGrid w:linePitch="360"/>
        </w:sectPr>
      </w:pPr>
      <w:r>
        <w:rPr>
          <w:b/>
          <w:color w:val="FF0000"/>
        </w:rPr>
        <w:t xml:space="preserve">Phone the DPS emergency line in an emergency!! </w:t>
      </w:r>
      <w:r>
        <w:t xml:space="preserve">DPS have 24 h/day immediate communication access to primary and backup personnel on the EH&amp;S and Hazmat on-call </w:t>
      </w:r>
      <w:proofErr w:type="spellStart"/>
      <w:r>
        <w:t>rota</w:t>
      </w:r>
      <w:proofErr w:type="spellEnd"/>
      <w:r>
        <w:t xml:space="preserve">. </w:t>
      </w:r>
      <w:r w:rsidRPr="006C1AEC">
        <w:rPr>
          <w:b/>
          <w:color w:val="FF0000"/>
        </w:rPr>
        <w:t>Do NOT call the EH&amp;S general phone line or individual EH&amp;S personnel in an emergency as access is not guaranteed.</w:t>
      </w:r>
      <w:bookmarkEnd w:id="2"/>
    </w:p>
    <w:p w:rsidR="00F06332" w:rsidRDefault="00F06332" w:rsidP="003116F5">
      <w:pPr>
        <w:pStyle w:val="DHWHeading2"/>
      </w:pPr>
      <w:r w:rsidRPr="00F06332">
        <w:lastRenderedPageBreak/>
        <w:t>SOP Acknowledgement</w:t>
      </w:r>
    </w:p>
    <w:p w:rsidR="00F06332" w:rsidRPr="00F06332" w:rsidRDefault="00F06332" w:rsidP="00610F29">
      <w:pPr>
        <w:pStyle w:val="DHWCondensedParagraph"/>
      </w:pPr>
      <w:r w:rsidRPr="00F06332">
        <w:t>The undersigned acknowledge by their signature that they:</w:t>
      </w:r>
    </w:p>
    <w:p w:rsidR="00F06332" w:rsidRPr="00F06332" w:rsidRDefault="00F06332" w:rsidP="00610F29">
      <w:pPr>
        <w:pStyle w:val="DHWCondensedParagraph"/>
        <w:numPr>
          <w:ilvl w:val="0"/>
          <w:numId w:val="14"/>
        </w:numPr>
      </w:pPr>
      <w:r w:rsidRPr="00F06332">
        <w:t>Have read, understood, have access to, and agree to abide by this SOP, AND;</w:t>
      </w:r>
    </w:p>
    <w:p w:rsidR="00312C61" w:rsidRDefault="00312C61" w:rsidP="00610F29">
      <w:pPr>
        <w:pStyle w:val="DHWCondensedParagraph"/>
        <w:numPr>
          <w:ilvl w:val="0"/>
          <w:numId w:val="14"/>
        </w:numPr>
      </w:pPr>
      <w:r>
        <w:t xml:space="preserve">Have read and understood the emergency response resources incorporated into this SOP by reference </w:t>
      </w:r>
      <w:r w:rsidR="003116F5">
        <w:t>(“</w:t>
      </w:r>
      <w:hyperlink r:id="rId35" w:history="1">
        <w:r w:rsidR="003116F5" w:rsidRPr="003116F5">
          <w:rPr>
            <w:rStyle w:val="Hyperlink"/>
            <w:b/>
          </w:rPr>
          <w:t>1-2-3 poster</w:t>
        </w:r>
      </w:hyperlink>
      <w:r w:rsidR="003116F5">
        <w:t xml:space="preserve">”, </w:t>
      </w:r>
      <w:hyperlink r:id="rId36" w:history="1">
        <w:r w:rsidR="00250E0A">
          <w:rPr>
            <w:rStyle w:val="Hyperlink"/>
            <w:b/>
            <w:bCs/>
          </w:rPr>
          <w:t>Non-Life-Threatening Workplace Injury or Illness webpage</w:t>
        </w:r>
      </w:hyperlink>
      <w:r>
        <w:t xml:space="preserve">, </w:t>
      </w:r>
      <w:hyperlink r:id="rId37" w:history="1">
        <w:r w:rsidRPr="003116F5">
          <w:rPr>
            <w:rStyle w:val="Hyperlink"/>
            <w:b/>
          </w:rPr>
          <w:t>CHP Chapter 10</w:t>
        </w:r>
      </w:hyperlink>
      <w:r>
        <w:t xml:space="preserve">, and </w:t>
      </w:r>
      <w:hyperlink r:id="rId38" w:history="1">
        <w:r w:rsidRPr="003116F5">
          <w:rPr>
            <w:rStyle w:val="Hyperlink"/>
            <w:b/>
          </w:rPr>
          <w:t>EH&amp;S emergency webpage</w:t>
        </w:r>
      </w:hyperlink>
      <w:r>
        <w:t>), AND;</w:t>
      </w:r>
      <w:bookmarkStart w:id="3" w:name="_GoBack"/>
      <w:bookmarkEnd w:id="3"/>
    </w:p>
    <w:p w:rsidR="00312C61" w:rsidRPr="00F06332" w:rsidRDefault="00F06332" w:rsidP="00610F29">
      <w:pPr>
        <w:pStyle w:val="DHWCondensedParagraph"/>
        <w:numPr>
          <w:ilvl w:val="0"/>
          <w:numId w:val="14"/>
        </w:numPr>
      </w:pPr>
      <w:r w:rsidRPr="00F06332">
        <w:t>Will download, store, read, and thoroughly familiarize themselves with safety data sheets (SDSs) for all the hazardous materials they intend to u</w:t>
      </w:r>
      <w:r w:rsidR="00312C61">
        <w:t>se within the scope of this SOP.</w:t>
      </w:r>
    </w:p>
    <w:tbl>
      <w:tblPr>
        <w:tblStyle w:val="TableGrid"/>
        <w:tblW w:w="0" w:type="auto"/>
        <w:tblLook w:val="04A0" w:firstRow="1" w:lastRow="0" w:firstColumn="1" w:lastColumn="0" w:noHBand="0" w:noVBand="1"/>
      </w:tblPr>
      <w:tblGrid>
        <w:gridCol w:w="2092"/>
        <w:gridCol w:w="2061"/>
        <w:gridCol w:w="2077"/>
        <w:gridCol w:w="1983"/>
        <w:gridCol w:w="1975"/>
      </w:tblGrid>
      <w:tr w:rsidR="00912C11" w:rsidRPr="00912C11" w:rsidTr="00CC36A9">
        <w:tc>
          <w:tcPr>
            <w:tcW w:w="2092" w:type="dxa"/>
            <w:shd w:val="clear" w:color="auto" w:fill="D9D9D9" w:themeFill="background1" w:themeFillShade="D9"/>
          </w:tcPr>
          <w:p w:rsidR="00912C11" w:rsidRPr="00912C11" w:rsidRDefault="00912C11" w:rsidP="00F06332">
            <w:pPr>
              <w:pStyle w:val="DHWParagraph"/>
              <w:rPr>
                <w:b/>
              </w:rPr>
            </w:pPr>
            <w:r w:rsidRPr="00912C11">
              <w:rPr>
                <w:b/>
              </w:rPr>
              <w:t>Name</w:t>
            </w:r>
          </w:p>
        </w:tc>
        <w:tc>
          <w:tcPr>
            <w:tcW w:w="2061" w:type="dxa"/>
            <w:shd w:val="clear" w:color="auto" w:fill="D9D9D9" w:themeFill="background1" w:themeFillShade="D9"/>
          </w:tcPr>
          <w:p w:rsidR="00912C11" w:rsidRPr="00912C11" w:rsidRDefault="00912C11" w:rsidP="00F06332">
            <w:pPr>
              <w:pStyle w:val="DHWParagraph"/>
              <w:rPr>
                <w:b/>
              </w:rPr>
            </w:pPr>
            <w:r w:rsidRPr="00912C11">
              <w:rPr>
                <w:b/>
              </w:rPr>
              <w:t>USC ID</w:t>
            </w:r>
          </w:p>
        </w:tc>
        <w:tc>
          <w:tcPr>
            <w:tcW w:w="2077" w:type="dxa"/>
            <w:shd w:val="clear" w:color="auto" w:fill="D9D9D9" w:themeFill="background1" w:themeFillShade="D9"/>
          </w:tcPr>
          <w:p w:rsidR="00912C11" w:rsidRPr="00912C11" w:rsidRDefault="00912C11" w:rsidP="00F06332">
            <w:pPr>
              <w:pStyle w:val="DHWParagraph"/>
              <w:rPr>
                <w:b/>
              </w:rPr>
            </w:pPr>
            <w:r w:rsidRPr="00912C11">
              <w:rPr>
                <w:b/>
              </w:rPr>
              <w:t>Email</w:t>
            </w:r>
          </w:p>
        </w:tc>
        <w:tc>
          <w:tcPr>
            <w:tcW w:w="1983" w:type="dxa"/>
            <w:shd w:val="clear" w:color="auto" w:fill="D9D9D9" w:themeFill="background1" w:themeFillShade="D9"/>
          </w:tcPr>
          <w:p w:rsidR="00912C11" w:rsidRPr="00912C11" w:rsidRDefault="00912C11" w:rsidP="00F06332">
            <w:pPr>
              <w:pStyle w:val="DHWParagraph"/>
              <w:rPr>
                <w:b/>
              </w:rPr>
            </w:pPr>
            <w:r w:rsidRPr="00912C11">
              <w:rPr>
                <w:b/>
              </w:rPr>
              <w:t>Signature</w:t>
            </w:r>
          </w:p>
        </w:tc>
        <w:tc>
          <w:tcPr>
            <w:tcW w:w="1975" w:type="dxa"/>
            <w:shd w:val="clear" w:color="auto" w:fill="D9D9D9" w:themeFill="background1" w:themeFillShade="D9"/>
          </w:tcPr>
          <w:p w:rsidR="00912C11" w:rsidRPr="00912C11" w:rsidRDefault="00912C11" w:rsidP="00F06332">
            <w:pPr>
              <w:pStyle w:val="DHWParagraph"/>
              <w:rPr>
                <w:b/>
              </w:rPr>
            </w:pPr>
            <w:r w:rsidRPr="00912C11">
              <w:rPr>
                <w:b/>
              </w:rPr>
              <w:t>Date</w:t>
            </w: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r w:rsidR="00912C11" w:rsidTr="00CC36A9">
        <w:trPr>
          <w:trHeight w:val="624"/>
        </w:trPr>
        <w:tc>
          <w:tcPr>
            <w:tcW w:w="2092" w:type="dxa"/>
          </w:tcPr>
          <w:p w:rsidR="00912C11" w:rsidRDefault="00912C11" w:rsidP="00F06332">
            <w:pPr>
              <w:pStyle w:val="DHWParagraph"/>
            </w:pPr>
          </w:p>
        </w:tc>
        <w:tc>
          <w:tcPr>
            <w:tcW w:w="2061" w:type="dxa"/>
          </w:tcPr>
          <w:p w:rsidR="00912C11" w:rsidRDefault="00912C11" w:rsidP="00F06332">
            <w:pPr>
              <w:pStyle w:val="DHWParagraph"/>
            </w:pPr>
          </w:p>
        </w:tc>
        <w:tc>
          <w:tcPr>
            <w:tcW w:w="2077" w:type="dxa"/>
          </w:tcPr>
          <w:p w:rsidR="00912C11" w:rsidRDefault="00912C11" w:rsidP="00F06332">
            <w:pPr>
              <w:pStyle w:val="DHWParagraph"/>
            </w:pPr>
          </w:p>
        </w:tc>
        <w:tc>
          <w:tcPr>
            <w:tcW w:w="1983" w:type="dxa"/>
          </w:tcPr>
          <w:p w:rsidR="00912C11" w:rsidRDefault="00912C11" w:rsidP="00F06332">
            <w:pPr>
              <w:pStyle w:val="DHWParagraph"/>
            </w:pPr>
          </w:p>
        </w:tc>
        <w:tc>
          <w:tcPr>
            <w:tcW w:w="1975" w:type="dxa"/>
          </w:tcPr>
          <w:p w:rsidR="00912C11" w:rsidRDefault="00912C11" w:rsidP="00F06332">
            <w:pPr>
              <w:pStyle w:val="DHWParagraph"/>
            </w:pPr>
          </w:p>
        </w:tc>
      </w:tr>
    </w:tbl>
    <w:p w:rsidR="00F06332" w:rsidRPr="00610F29" w:rsidRDefault="00F06332" w:rsidP="00F06332">
      <w:pPr>
        <w:pStyle w:val="DHWParagraph"/>
        <w:rPr>
          <w:sz w:val="2"/>
          <w:szCs w:val="2"/>
        </w:rPr>
      </w:pPr>
    </w:p>
    <w:p w:rsidR="00CC36A9" w:rsidRDefault="00CC36A9" w:rsidP="003116F5">
      <w:pPr>
        <w:pStyle w:val="DHWHeading2"/>
      </w:pPr>
    </w:p>
    <w:p w:rsidR="00F06332" w:rsidRDefault="00912C11" w:rsidP="003116F5">
      <w:pPr>
        <w:pStyle w:val="DHWHeading2"/>
      </w:pPr>
      <w:r>
        <w:lastRenderedPageBreak/>
        <w:t>Internal Training Record</w:t>
      </w:r>
    </w:p>
    <w:p w:rsidR="00912C11" w:rsidRPr="00C31F88" w:rsidRDefault="00912C11" w:rsidP="00610F29">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w:t>
      </w:r>
      <w:r w:rsidR="00D81315" w:rsidRPr="00C31F88">
        <w:t xml:space="preserve"> Training may be conducted by the PI</w:t>
      </w:r>
      <w:r w:rsidR="00ED1C13" w:rsidRPr="00C31F88">
        <w:t>,</w:t>
      </w:r>
      <w:r w:rsidR="004D7B69">
        <w:t xml:space="preserve"> or </w:t>
      </w:r>
      <w:r w:rsidR="00D81315" w:rsidRPr="00C31F88">
        <w:t>the PI may delegate a suitably experienced and knowledgeable lab member (e.g. lab manager or senior postdoc) as</w:t>
      </w:r>
      <w:r w:rsidR="00ED70D4">
        <w:t xml:space="preserve"> the</w:t>
      </w:r>
      <w:r w:rsidR="00D81315" w:rsidRPr="00C31F88">
        <w:t xml:space="preserve"> trainer. If delegated, the PI</w:t>
      </w:r>
      <w:r w:rsidR="00ED1C13" w:rsidRPr="00C31F88">
        <w:t xml:space="preserve"> still</w:t>
      </w:r>
      <w:r w:rsidR="00D81315" w:rsidRPr="00C31F88">
        <w:t xml:space="preserve"> retains management responsibility for the quality and adequacy of the safety training.</w:t>
      </w:r>
    </w:p>
    <w:tbl>
      <w:tblPr>
        <w:tblStyle w:val="TableGrid"/>
        <w:tblW w:w="0" w:type="auto"/>
        <w:tblLook w:val="04A0" w:firstRow="1" w:lastRow="0" w:firstColumn="1" w:lastColumn="0" w:noHBand="0" w:noVBand="1"/>
      </w:tblPr>
      <w:tblGrid>
        <w:gridCol w:w="1881"/>
        <w:gridCol w:w="3209"/>
        <w:gridCol w:w="1966"/>
        <w:gridCol w:w="3122"/>
      </w:tblGrid>
      <w:tr w:rsidR="00D81315"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D81315" w:rsidRDefault="00D81315" w:rsidP="004F1463">
            <w:pPr>
              <w:pStyle w:val="DHWParagraph"/>
              <w:jc w:val="left"/>
            </w:pPr>
            <w:r>
              <w:t>Trainer name</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D81315" w:rsidRDefault="00D8131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D81315" w:rsidRDefault="00D81315" w:rsidP="00D81315">
            <w:pPr>
              <w:pStyle w:val="DHWParagraph"/>
              <w:jc w:val="left"/>
            </w:pPr>
            <w:r>
              <w:t>Trainer position</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D81315" w:rsidRDefault="00D81315" w:rsidP="004F1463">
            <w:pPr>
              <w:pStyle w:val="DHWParagraph"/>
              <w:jc w:val="left"/>
            </w:pPr>
          </w:p>
        </w:tc>
      </w:tr>
      <w:tr w:rsidR="00ED1C13"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ED1C13" w:rsidP="004F1463">
            <w:pPr>
              <w:pStyle w:val="DHWParagraph"/>
              <w:jc w:val="left"/>
            </w:pPr>
            <w:r>
              <w:t>Trainer USC ID</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ED1C13" w:rsidP="00D81315">
            <w:pPr>
              <w:pStyle w:val="DHWParagraph"/>
              <w:jc w:val="left"/>
            </w:pPr>
            <w:r>
              <w:t>Trainer email</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r>
      <w:tr w:rsidR="00766735"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766735" w:rsidP="004F1463">
            <w:pPr>
              <w:pStyle w:val="DHWParagraph"/>
              <w:jc w:val="left"/>
            </w:pPr>
            <w:r>
              <w:t>Trainee #1 name</w:t>
            </w:r>
            <w:r w:rsidR="00ED1C13">
              <w:t xml:space="preserve"> </w:t>
            </w:r>
          </w:p>
        </w:tc>
        <w:tc>
          <w:tcPr>
            <w:tcW w:w="3258"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C31F88" w:rsidP="00C31F88">
            <w:pPr>
              <w:pStyle w:val="DHWParagraph"/>
              <w:jc w:val="left"/>
            </w:pPr>
            <w:r>
              <w:t>Trainee #1 USC ID</w:t>
            </w:r>
          </w:p>
        </w:tc>
        <w:tc>
          <w:tcPr>
            <w:tcW w:w="3167"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r>
      <w:tr w:rsidR="00ED1C13"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C31F88" w:rsidP="00C31F88">
            <w:pPr>
              <w:pStyle w:val="DHWParagraph"/>
              <w:jc w:val="left"/>
            </w:pPr>
            <w:r>
              <w:t>Trainee #1 email</w:t>
            </w:r>
          </w:p>
        </w:tc>
        <w:tc>
          <w:tcPr>
            <w:tcW w:w="3258" w:type="dxa"/>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ED1C13" w:rsidP="00766735">
            <w:pPr>
              <w:pStyle w:val="DHWParagraph"/>
              <w:jc w:val="left"/>
            </w:pPr>
            <w:r>
              <w:t>Trainee #1 signature</w:t>
            </w:r>
          </w:p>
        </w:tc>
        <w:tc>
          <w:tcPr>
            <w:tcW w:w="3167" w:type="dxa"/>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r>
      <w:tr w:rsidR="00766735"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766735" w:rsidRDefault="00766735" w:rsidP="004F1463">
            <w:pPr>
              <w:pStyle w:val="DHWParagraph"/>
              <w:jc w:val="left"/>
            </w:pPr>
            <w:r>
              <w:t>Trainee #2 name</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766735" w:rsidRDefault="00C31F88" w:rsidP="004F1463">
            <w:pPr>
              <w:pStyle w:val="DHWParagraph"/>
              <w:jc w:val="left"/>
            </w:pPr>
            <w:r>
              <w:t>Trainee #2 USC ID</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766735" w:rsidRDefault="00766735" w:rsidP="004F1463">
            <w:pPr>
              <w:pStyle w:val="DHWParagraph"/>
              <w:jc w:val="left"/>
            </w:pPr>
          </w:p>
        </w:tc>
      </w:tr>
      <w:tr w:rsidR="00ED1C13"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C31F88" w:rsidP="00C31F88">
            <w:pPr>
              <w:pStyle w:val="DHWParagraph"/>
              <w:jc w:val="left"/>
            </w:pPr>
            <w:r>
              <w:t>Trainee #2 email</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ED1C13" w:rsidP="004F1463">
            <w:pPr>
              <w:pStyle w:val="DHWParagraph"/>
              <w:jc w:val="left"/>
            </w:pPr>
            <w:r>
              <w:t>Trainee #2 signature</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r>
      <w:tr w:rsidR="00766735"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766735" w:rsidP="004F1463">
            <w:pPr>
              <w:pStyle w:val="DHWParagraph"/>
              <w:jc w:val="left"/>
            </w:pPr>
            <w:r>
              <w:t>Trainee #3 name</w:t>
            </w:r>
          </w:p>
        </w:tc>
        <w:tc>
          <w:tcPr>
            <w:tcW w:w="3258"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C31F88" w:rsidP="004F1463">
            <w:pPr>
              <w:pStyle w:val="DHWParagraph"/>
              <w:jc w:val="left"/>
            </w:pPr>
            <w:r>
              <w:t>Trainee #3 USC ID</w:t>
            </w:r>
          </w:p>
        </w:tc>
        <w:tc>
          <w:tcPr>
            <w:tcW w:w="3167"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r>
      <w:tr w:rsidR="00ED1C13"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C31F88" w:rsidP="004F1463">
            <w:pPr>
              <w:pStyle w:val="DHWParagraph"/>
              <w:jc w:val="left"/>
            </w:pPr>
            <w:r>
              <w:t>Trainee #3 email</w:t>
            </w:r>
          </w:p>
        </w:tc>
        <w:tc>
          <w:tcPr>
            <w:tcW w:w="3258" w:type="dxa"/>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ED1C13" w:rsidP="004F1463">
            <w:pPr>
              <w:pStyle w:val="DHWParagraph"/>
              <w:jc w:val="left"/>
            </w:pPr>
            <w:r>
              <w:t>Trainee #3 signature</w:t>
            </w:r>
          </w:p>
        </w:tc>
        <w:tc>
          <w:tcPr>
            <w:tcW w:w="3167" w:type="dxa"/>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r>
      <w:tr w:rsidR="00766735"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766735" w:rsidRDefault="00766735" w:rsidP="004F1463">
            <w:pPr>
              <w:pStyle w:val="DHWParagraph"/>
              <w:jc w:val="left"/>
            </w:pPr>
            <w:r>
              <w:t>Trainee #4 name</w:t>
            </w:r>
            <w:r w:rsidR="00C31F88">
              <w:t>*</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766735" w:rsidRDefault="00766735" w:rsidP="004F1463">
            <w:pPr>
              <w:pStyle w:val="DHWParagraph"/>
              <w:jc w:val="left"/>
            </w:pPr>
            <w:r>
              <w:t>Trainee #4 signature</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766735" w:rsidRDefault="00766735" w:rsidP="004F1463">
            <w:pPr>
              <w:pStyle w:val="DHWParagraph"/>
              <w:jc w:val="left"/>
            </w:pPr>
          </w:p>
        </w:tc>
      </w:tr>
      <w:tr w:rsidR="00ED1C13"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C31F88" w:rsidP="004F1463">
            <w:pPr>
              <w:pStyle w:val="DHWParagraph"/>
              <w:jc w:val="left"/>
            </w:pPr>
            <w:r>
              <w:t>Trainee #4 email</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rsidR="00ED1C13" w:rsidRDefault="00C31F88" w:rsidP="004F1463">
            <w:pPr>
              <w:pStyle w:val="DHWParagraph"/>
              <w:jc w:val="left"/>
            </w:pPr>
            <w:r>
              <w:t>Trainee #4 USC ID</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rsidR="00ED1C13" w:rsidRDefault="00ED1C13" w:rsidP="004F1463">
            <w:pPr>
              <w:pStyle w:val="DHWParagraph"/>
              <w:jc w:val="left"/>
            </w:pPr>
          </w:p>
        </w:tc>
      </w:tr>
      <w:tr w:rsidR="00766735"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AD4A89" w:rsidP="004F1463">
            <w:pPr>
              <w:pStyle w:val="DHWParagraph"/>
              <w:jc w:val="left"/>
            </w:pPr>
            <w:r>
              <w:t>Date training started</w:t>
            </w:r>
          </w:p>
        </w:tc>
        <w:tc>
          <w:tcPr>
            <w:tcW w:w="3258"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AD4A89" w:rsidP="004F1463">
            <w:pPr>
              <w:pStyle w:val="DHWParagraph"/>
              <w:jc w:val="left"/>
            </w:pPr>
            <w:r>
              <w:t>Date training completed</w:t>
            </w:r>
          </w:p>
        </w:tc>
        <w:tc>
          <w:tcPr>
            <w:tcW w:w="3167" w:type="dxa"/>
            <w:tcBorders>
              <w:top w:val="single" w:sz="8" w:space="0" w:color="auto"/>
              <w:left w:val="dashSmallGap" w:sz="4" w:space="0" w:color="auto"/>
              <w:bottom w:val="single" w:sz="8" w:space="0" w:color="auto"/>
              <w:right w:val="single" w:sz="8" w:space="0" w:color="auto"/>
            </w:tcBorders>
          </w:tcPr>
          <w:p w:rsidR="00766735" w:rsidRDefault="00766735" w:rsidP="004F1463">
            <w:pPr>
              <w:pStyle w:val="DHWParagraph"/>
              <w:jc w:val="left"/>
            </w:pPr>
          </w:p>
        </w:tc>
      </w:tr>
      <w:tr w:rsidR="00766735" w:rsidTr="004F1463">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AD4A89" w:rsidP="00AD4A89">
            <w:pPr>
              <w:pStyle w:val="DHWParagraph"/>
              <w:jc w:val="left"/>
            </w:pPr>
            <w:r>
              <w:t xml:space="preserve">Type of training </w:t>
            </w:r>
            <w:r w:rsidRPr="00AD4A89">
              <w:rPr>
                <w:sz w:val="18"/>
                <w:szCs w:val="18"/>
              </w:rPr>
              <w:t>(delete as appropriate)</w:t>
            </w:r>
          </w:p>
        </w:tc>
        <w:tc>
          <w:tcPr>
            <w:tcW w:w="3258" w:type="dxa"/>
            <w:tcBorders>
              <w:top w:val="single" w:sz="8" w:space="0" w:color="auto"/>
              <w:left w:val="dashSmallGap" w:sz="4" w:space="0" w:color="auto"/>
              <w:bottom w:val="single" w:sz="8" w:space="0" w:color="auto"/>
              <w:right w:val="single" w:sz="8" w:space="0" w:color="auto"/>
            </w:tcBorders>
          </w:tcPr>
          <w:p w:rsidR="00766735" w:rsidRDefault="00AD4A89" w:rsidP="004F1463">
            <w:pPr>
              <w:pStyle w:val="DHWParagraph"/>
              <w:jc w:val="left"/>
            </w:pPr>
            <w:r w:rsidRPr="00AD4A89">
              <w:rPr>
                <w:b/>
              </w:rPr>
              <w:t>Initial training</w:t>
            </w:r>
          </w:p>
          <w:p w:rsidR="00AD4A89" w:rsidRPr="00AD4A89" w:rsidRDefault="00AD4A89" w:rsidP="004F1463">
            <w:pPr>
              <w:pStyle w:val="DHWParagraph"/>
              <w:jc w:val="left"/>
              <w:rPr>
                <w:b/>
              </w:rPr>
            </w:pPr>
            <w:r w:rsidRPr="00AD4A89">
              <w:rPr>
                <w:b/>
              </w:rPr>
              <w:t>Refresher training</w:t>
            </w: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766735" w:rsidRDefault="00AD4A89" w:rsidP="004F1463">
            <w:pPr>
              <w:pStyle w:val="DHWParagraph"/>
              <w:jc w:val="left"/>
            </w:pPr>
            <w:r>
              <w:t xml:space="preserve">Type of training </w:t>
            </w:r>
            <w:r w:rsidRPr="00AD4A89">
              <w:rPr>
                <w:sz w:val="18"/>
                <w:szCs w:val="18"/>
              </w:rPr>
              <w:t>(delete as appropriate)</w:t>
            </w:r>
          </w:p>
        </w:tc>
        <w:tc>
          <w:tcPr>
            <w:tcW w:w="3167" w:type="dxa"/>
            <w:tcBorders>
              <w:top w:val="single" w:sz="8" w:space="0" w:color="auto"/>
              <w:left w:val="dashSmallGap" w:sz="4" w:space="0" w:color="auto"/>
              <w:bottom w:val="single" w:sz="8" w:space="0" w:color="auto"/>
              <w:right w:val="single" w:sz="8" w:space="0" w:color="auto"/>
            </w:tcBorders>
          </w:tcPr>
          <w:p w:rsidR="00766735" w:rsidRPr="00AD4A89" w:rsidRDefault="00AD4A89" w:rsidP="004F1463">
            <w:pPr>
              <w:pStyle w:val="DHWParagraph"/>
              <w:jc w:val="left"/>
              <w:rPr>
                <w:b/>
              </w:rPr>
            </w:pPr>
            <w:r w:rsidRPr="00AD4A89">
              <w:rPr>
                <w:b/>
              </w:rPr>
              <w:t>Classroom training</w:t>
            </w:r>
          </w:p>
          <w:p w:rsidR="00AD4A89" w:rsidRDefault="00AD4A89" w:rsidP="004F1463">
            <w:pPr>
              <w:pStyle w:val="DHWParagraph"/>
              <w:jc w:val="left"/>
            </w:pPr>
            <w:r w:rsidRPr="00AD4A89">
              <w:rPr>
                <w:b/>
              </w:rPr>
              <w:t>Hands-on laboratory training</w:t>
            </w:r>
          </w:p>
        </w:tc>
      </w:tr>
      <w:tr w:rsidR="00AD4A89" w:rsidTr="00AD4A89">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AD4A89" w:rsidRDefault="00AD4A89" w:rsidP="00AD4A89">
            <w:pPr>
              <w:pStyle w:val="DHWParagraph"/>
              <w:jc w:val="left"/>
            </w:pPr>
            <w:r>
              <w:t>If refresher training, provide date of initial training</w:t>
            </w:r>
          </w:p>
        </w:tc>
        <w:tc>
          <w:tcPr>
            <w:tcW w:w="3258" w:type="dxa"/>
            <w:tcBorders>
              <w:top w:val="single" w:sz="8" w:space="0" w:color="auto"/>
              <w:left w:val="dashSmallGap" w:sz="4" w:space="0" w:color="auto"/>
              <w:bottom w:val="single" w:sz="8" w:space="0" w:color="auto"/>
              <w:right w:val="single" w:sz="8" w:space="0" w:color="auto"/>
            </w:tcBorders>
          </w:tcPr>
          <w:p w:rsidR="00AD4A89" w:rsidRPr="00AD4A89" w:rsidRDefault="00AD4A89" w:rsidP="004F1463">
            <w:pPr>
              <w:pStyle w:val="DHWParagraph"/>
              <w:jc w:val="left"/>
              <w:rPr>
                <w:b/>
              </w:rPr>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AD4A89" w:rsidRDefault="00AD4A89" w:rsidP="00AD4A89">
            <w:pPr>
              <w:pStyle w:val="DHWParagraph"/>
              <w:jc w:val="left"/>
            </w:pPr>
            <w:r>
              <w:t>If refresher training, was the initial training hands-on in the lab?</w:t>
            </w:r>
          </w:p>
        </w:tc>
        <w:tc>
          <w:tcPr>
            <w:tcW w:w="3167" w:type="dxa"/>
            <w:tcBorders>
              <w:top w:val="single" w:sz="8" w:space="0" w:color="auto"/>
              <w:left w:val="dashSmallGap" w:sz="4" w:space="0" w:color="auto"/>
              <w:bottom w:val="single" w:sz="8" w:space="0" w:color="auto"/>
              <w:right w:val="single" w:sz="8" w:space="0" w:color="auto"/>
            </w:tcBorders>
            <w:vAlign w:val="center"/>
          </w:tcPr>
          <w:p w:rsidR="00AD4A89" w:rsidRPr="00AD4A89" w:rsidRDefault="00AD4A89" w:rsidP="00AD4A89">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D81315" w:rsidTr="00ED1C13">
        <w:trPr>
          <w:trHeight w:val="397"/>
        </w:trPr>
        <w:tc>
          <w:tcPr>
            <w:tcW w:w="515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D81315" w:rsidRDefault="00AD4A89" w:rsidP="00ED1C13">
            <w:pPr>
              <w:pStyle w:val="DHWParagraph"/>
              <w:jc w:val="left"/>
            </w:pPr>
            <w:r>
              <w:t>Signature of trainer confirming the above named trainees have successfully completed safety training on the contents of this SOP</w:t>
            </w:r>
            <w:r w:rsidR="00C31F88">
              <w:t xml:space="preserve"> (and any additional subjects listed below)</w:t>
            </w:r>
          </w:p>
        </w:tc>
        <w:tc>
          <w:tcPr>
            <w:tcW w:w="5154" w:type="dxa"/>
            <w:gridSpan w:val="2"/>
            <w:tcBorders>
              <w:top w:val="single" w:sz="8" w:space="0" w:color="auto"/>
              <w:left w:val="dashSmallGap" w:sz="4" w:space="0" w:color="auto"/>
              <w:bottom w:val="single" w:sz="8" w:space="0" w:color="auto"/>
              <w:right w:val="single" w:sz="8" w:space="0" w:color="auto"/>
            </w:tcBorders>
          </w:tcPr>
          <w:p w:rsidR="00D81315" w:rsidRDefault="00D81315" w:rsidP="004F1463">
            <w:pPr>
              <w:pStyle w:val="DHWParagraph"/>
              <w:jc w:val="left"/>
            </w:pPr>
          </w:p>
        </w:tc>
      </w:tr>
      <w:tr w:rsidR="00ED1C13" w:rsidTr="00ED1C13">
        <w:trPr>
          <w:trHeight w:val="397"/>
        </w:trPr>
        <w:tc>
          <w:tcPr>
            <w:tcW w:w="515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ED1C13" w:rsidRDefault="00ED1C13" w:rsidP="00ED1C13">
            <w:pPr>
              <w:pStyle w:val="DHWParagraph"/>
              <w:jc w:val="left"/>
            </w:pPr>
            <w:r>
              <w:t>Date of signing</w:t>
            </w:r>
            <w:r w:rsidR="00B44393">
              <w:t xml:space="preserve"> by trainer</w:t>
            </w:r>
          </w:p>
        </w:tc>
        <w:tc>
          <w:tcPr>
            <w:tcW w:w="5154" w:type="dxa"/>
            <w:gridSpan w:val="2"/>
            <w:tcBorders>
              <w:top w:val="single" w:sz="8" w:space="0" w:color="auto"/>
              <w:left w:val="dashSmallGap" w:sz="4" w:space="0" w:color="auto"/>
              <w:bottom w:val="single" w:sz="8" w:space="0" w:color="auto"/>
              <w:right w:val="single" w:sz="8" w:space="0" w:color="auto"/>
            </w:tcBorders>
          </w:tcPr>
          <w:p w:rsidR="00ED1C13" w:rsidRDefault="00ED1C13" w:rsidP="004F1463">
            <w:pPr>
              <w:pStyle w:val="DHWParagraph"/>
              <w:jc w:val="left"/>
            </w:pPr>
          </w:p>
        </w:tc>
      </w:tr>
      <w:tr w:rsidR="00C31F88" w:rsidTr="00C31F88">
        <w:trPr>
          <w:trHeight w:val="158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rsidR="00C31F88" w:rsidRDefault="00C31F88" w:rsidP="00ED1C13">
            <w:pPr>
              <w:pStyle w:val="DHWParagraph"/>
              <w:jc w:val="left"/>
            </w:pPr>
            <w:r>
              <w:t xml:space="preserve">Additional subjects covered by </w:t>
            </w:r>
            <w:r w:rsidR="00B44393">
              <w:t xml:space="preserve">safety </w:t>
            </w:r>
            <w:r>
              <w:t>training</w:t>
            </w:r>
          </w:p>
        </w:tc>
        <w:tc>
          <w:tcPr>
            <w:tcW w:w="8412" w:type="dxa"/>
            <w:gridSpan w:val="3"/>
            <w:tcBorders>
              <w:top w:val="single" w:sz="8" w:space="0" w:color="auto"/>
              <w:left w:val="dashSmallGap" w:sz="4" w:space="0" w:color="auto"/>
              <w:bottom w:val="single" w:sz="8" w:space="0" w:color="auto"/>
              <w:right w:val="single" w:sz="8" w:space="0" w:color="auto"/>
            </w:tcBorders>
          </w:tcPr>
          <w:p w:rsidR="00C31F88" w:rsidRDefault="00C31F88" w:rsidP="004F1463">
            <w:pPr>
              <w:pStyle w:val="DHWParagraph"/>
              <w:jc w:val="left"/>
            </w:pPr>
          </w:p>
        </w:tc>
      </w:tr>
      <w:tr w:rsidR="00C31F88" w:rsidTr="009E344C">
        <w:trPr>
          <w:trHeight w:val="20"/>
        </w:trPr>
        <w:tc>
          <w:tcPr>
            <w:tcW w:w="1031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31F88" w:rsidRDefault="00C31F88" w:rsidP="004F1463">
            <w:pPr>
              <w:pStyle w:val="DHWParagraph"/>
              <w:jc w:val="left"/>
            </w:pPr>
            <w:r>
              <w:t>* If there are more than four trainees, please append an additional sign-in sheet.</w:t>
            </w:r>
          </w:p>
        </w:tc>
      </w:tr>
    </w:tbl>
    <w:p w:rsidR="00912C11" w:rsidRPr="00C31F88" w:rsidRDefault="00912C11" w:rsidP="00912C11">
      <w:pPr>
        <w:pStyle w:val="DHWParagraph"/>
        <w:rPr>
          <w:sz w:val="2"/>
          <w:szCs w:val="2"/>
        </w:rPr>
      </w:pPr>
    </w:p>
    <w:sectPr w:rsidR="00912C11" w:rsidRPr="00C31F88" w:rsidSect="00667431">
      <w:footerReference w:type="default" r:id="rId39"/>
      <w:footnotePr>
        <w:numFmt w:val="chicago"/>
        <w:numRestart w:val="eachPage"/>
      </w:footnotePr>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99" w:rsidRDefault="00C11499" w:rsidP="005D7E11">
      <w:pPr>
        <w:spacing w:after="0"/>
      </w:pPr>
      <w:r>
        <w:separator/>
      </w:r>
    </w:p>
  </w:endnote>
  <w:endnote w:type="continuationSeparator" w:id="0">
    <w:p w:rsidR="00C11499" w:rsidRDefault="00C11499" w:rsidP="005D7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89914"/>
      <w:docPartObj>
        <w:docPartGallery w:val="Page Numbers (Bottom of Page)"/>
        <w:docPartUnique/>
      </w:docPartObj>
    </w:sdtPr>
    <w:sdtEndPr>
      <w:rPr>
        <w:noProof/>
        <w:color w:val="808080" w:themeColor="background1" w:themeShade="80"/>
      </w:rPr>
    </w:sdtEndPr>
    <w:sdtContent>
      <w:p w:rsidR="00F6735A" w:rsidRDefault="00F6735A" w:rsidP="00A606B0">
        <w:pPr>
          <w:pStyle w:val="Footer"/>
          <w:tabs>
            <w:tab w:val="clear" w:pos="4680"/>
            <w:tab w:val="clear" w:pos="9360"/>
            <w:tab w:val="center" w:pos="5103"/>
            <w:tab w:val="right" w:pos="10206"/>
          </w:tabs>
        </w:pPr>
        <w:r>
          <w:tab/>
        </w:r>
        <w:r w:rsidR="00C81698">
          <w:fldChar w:fldCharType="begin"/>
        </w:r>
        <w:r w:rsidR="00C81698">
          <w:instrText xml:space="preserve"> PAGE   \* MERGEFORMAT </w:instrText>
        </w:r>
        <w:r w:rsidR="00C81698">
          <w:fldChar w:fldCharType="separate"/>
        </w:r>
        <w:r w:rsidR="00250E0A">
          <w:rPr>
            <w:noProof/>
          </w:rPr>
          <w:t>7</w:t>
        </w:r>
        <w:r w:rsidR="00C81698">
          <w:rPr>
            <w:noProof/>
          </w:rPr>
          <w:fldChar w:fldCharType="end"/>
        </w:r>
        <w:r w:rsidR="00E24E5F">
          <w:rPr>
            <w:noProof/>
          </w:rPr>
          <w:tab/>
          <w:t>Rev. 09 (2019</w:t>
        </w:r>
        <w:r>
          <w:rPr>
            <w:noProof/>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551663"/>
      <w:docPartObj>
        <w:docPartGallery w:val="Page Numbers (Bottom of Page)"/>
        <w:docPartUnique/>
      </w:docPartObj>
    </w:sdtPr>
    <w:sdtEndPr>
      <w:rPr>
        <w:noProof/>
        <w:color w:val="808080" w:themeColor="background1" w:themeShade="80"/>
      </w:rPr>
    </w:sdtEndPr>
    <w:sdtContent>
      <w:p w:rsidR="00AB52D4" w:rsidRDefault="00AB52D4" w:rsidP="00A606B0">
        <w:pPr>
          <w:pStyle w:val="Footer"/>
          <w:tabs>
            <w:tab w:val="clear" w:pos="4680"/>
            <w:tab w:val="clear" w:pos="9360"/>
            <w:tab w:val="center" w:pos="5103"/>
            <w:tab w:val="right" w:pos="10206"/>
          </w:tabs>
        </w:pPr>
        <w:r>
          <w:tab/>
        </w:r>
        <w:r>
          <w:rPr>
            <w:noProof/>
          </w:rPr>
          <w:tab/>
          <w:t>Rev. 01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99" w:rsidRDefault="00C11499" w:rsidP="005D7E11">
      <w:pPr>
        <w:spacing w:after="0"/>
      </w:pPr>
      <w:r>
        <w:separator/>
      </w:r>
    </w:p>
  </w:footnote>
  <w:footnote w:type="continuationSeparator" w:id="0">
    <w:p w:rsidR="00C11499" w:rsidRDefault="00C11499" w:rsidP="005D7E11">
      <w:pPr>
        <w:spacing w:after="0"/>
      </w:pPr>
      <w:r>
        <w:continuationSeparator/>
      </w:r>
    </w:p>
  </w:footnote>
  <w:footnote w:id="1">
    <w:p w:rsidR="004D4BFD" w:rsidRDefault="004D4BFD" w:rsidP="004D4BFD">
      <w:pPr>
        <w:pStyle w:val="FootnoteText"/>
      </w:pPr>
      <w:r>
        <w:rPr>
          <w:rStyle w:val="FootnoteReference"/>
        </w:rPr>
        <w:footnoteRef/>
      </w:r>
      <w:r>
        <w:t xml:space="preserve"> Section 6 for identification and Section 8 for safe working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088"/>
      <w:gridCol w:w="5735"/>
      <w:gridCol w:w="1375"/>
    </w:tblGrid>
    <w:tr w:rsidR="00667431" w:rsidRPr="00A606B0" w:rsidTr="0092560B">
      <w:trPr>
        <w:trHeight w:val="893"/>
      </w:trPr>
      <w:tc>
        <w:tcPr>
          <w:tcW w:w="1514" w:type="pct"/>
          <w:shd w:val="clear" w:color="auto" w:fill="943651"/>
        </w:tcPr>
        <w:p w:rsidR="00667431" w:rsidRPr="00A606B0" w:rsidRDefault="00667431" w:rsidP="00A606B0">
          <w:pPr>
            <w:ind w:left="1062" w:right="-720"/>
            <w:rPr>
              <w:rFonts w:ascii="Calibri" w:hAnsi="Calibri" w:cs="Adobe Caslon Pro"/>
              <w:color w:val="000000"/>
            </w:rPr>
          </w:pPr>
          <w:r w:rsidRPr="00A606B0">
            <w:rPr>
              <w:rFonts w:ascii="Calibri" w:hAnsi="Calibri" w:cs="Adobe Caslon Pro"/>
              <w:noProof/>
              <w:color w:val="000000"/>
            </w:rPr>
            <w:drawing>
              <wp:anchor distT="0" distB="0" distL="114300" distR="114300" simplePos="0" relativeHeight="251668480" behindDoc="0" locked="0" layoutInCell="1" allowOverlap="1" wp14:anchorId="6CE2EED5" wp14:editId="58F1500C">
                <wp:simplePos x="0" y="0"/>
                <wp:positionH relativeFrom="column">
                  <wp:posOffset>33020</wp:posOffset>
                </wp:positionH>
                <wp:positionV relativeFrom="paragraph">
                  <wp:posOffset>62704</wp:posOffset>
                </wp:positionV>
                <wp:extent cx="1809961" cy="38896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12" w:type="pct"/>
          <w:shd w:val="clear" w:color="auto" w:fill="943651"/>
        </w:tcPr>
        <w:p w:rsidR="00667431" w:rsidRPr="0092560B" w:rsidRDefault="00667431" w:rsidP="0092560B">
          <w:pPr>
            <w:ind w:right="-720"/>
            <w:rPr>
              <w:rFonts w:cs="Adobe Caslon Pro"/>
              <w:b/>
              <w:smallCaps/>
              <w:color w:val="FFFFFF"/>
              <w:sz w:val="24"/>
              <w:szCs w:val="24"/>
            </w:rPr>
          </w:pPr>
          <w:r w:rsidRPr="0092560B">
            <w:rPr>
              <w:rFonts w:cs="Adobe Caslon Pro"/>
              <w:b/>
              <w:smallCaps/>
              <w:color w:val="FFFFFF"/>
              <w:sz w:val="24"/>
              <w:szCs w:val="24"/>
            </w:rPr>
            <w:t>Hazardous Materials SOP Template</w:t>
          </w:r>
        </w:p>
        <w:p w:rsidR="00667431" w:rsidRPr="00C81698" w:rsidRDefault="00444E03" w:rsidP="0085678E">
          <w:pPr>
            <w:ind w:right="-720"/>
            <w:rPr>
              <w:rFonts w:cs="Adobe Caslon Pro"/>
              <w:b/>
              <w:i/>
              <w:smallCaps/>
              <w:color w:val="FFFFFF"/>
              <w:sz w:val="28"/>
              <w:szCs w:val="28"/>
            </w:rPr>
          </w:pPr>
          <w:r>
            <w:rPr>
              <w:rFonts w:cs="Adobe Caslon Pro"/>
              <w:b/>
              <w:smallCaps/>
              <w:color w:val="FFFFFF"/>
              <w:sz w:val="28"/>
              <w:szCs w:val="28"/>
            </w:rPr>
            <w:t>CYANIDES</w:t>
          </w:r>
        </w:p>
      </w:tc>
      <w:tc>
        <w:tcPr>
          <w:tcW w:w="674" w:type="pct"/>
          <w:tcBorders>
            <w:left w:val="nil"/>
          </w:tcBorders>
          <w:shd w:val="clear" w:color="auto" w:fill="943651"/>
          <w:vAlign w:val="bottom"/>
        </w:tcPr>
        <w:p w:rsidR="00667431" w:rsidRPr="00A606B0" w:rsidRDefault="00667431" w:rsidP="00A606B0">
          <w:pPr>
            <w:ind w:right="-720"/>
            <w:rPr>
              <w:rFonts w:ascii="Adobe Caslon Pro" w:hAnsi="Adobe Caslon Pro" w:cs="Adobe Caslon Pro"/>
              <w:smallCaps/>
              <w:color w:val="FFFFFF"/>
              <w:sz w:val="18"/>
              <w:szCs w:val="16"/>
            </w:rPr>
          </w:pPr>
          <w:r w:rsidRPr="00A606B0">
            <w:rPr>
              <w:rFonts w:ascii="Adobe Caslon Pro" w:hAnsi="Adobe Caslon Pro" w:cs="Adobe Caslon Pro"/>
              <w:smallCaps/>
              <w:noProof/>
              <w:color w:val="FFFFFF"/>
              <w:sz w:val="18"/>
              <w:szCs w:val="16"/>
            </w:rPr>
            <w:drawing>
              <wp:anchor distT="0" distB="0" distL="114300" distR="114300" simplePos="0" relativeHeight="251669504" behindDoc="0" locked="0" layoutInCell="1" allowOverlap="1" wp14:anchorId="79EA675B" wp14:editId="308BFE4D">
                <wp:simplePos x="0" y="0"/>
                <wp:positionH relativeFrom="column">
                  <wp:posOffset>-59055</wp:posOffset>
                </wp:positionH>
                <wp:positionV relativeFrom="paragraph">
                  <wp:posOffset>-287020</wp:posOffset>
                </wp:positionV>
                <wp:extent cx="798195" cy="36322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environmental health and safety-white-lower ca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8195" cy="363220"/>
                        </a:xfrm>
                        <a:prstGeom prst="rect">
                          <a:avLst/>
                        </a:prstGeom>
                      </pic:spPr>
                    </pic:pic>
                  </a:graphicData>
                </a:graphic>
                <wp14:sizeRelH relativeFrom="margin">
                  <wp14:pctWidth>0</wp14:pctWidth>
                </wp14:sizeRelH>
                <wp14:sizeRelV relativeFrom="margin">
                  <wp14:pctHeight>0</wp14:pctHeight>
                </wp14:sizeRelV>
              </wp:anchor>
            </w:drawing>
          </w:r>
        </w:p>
      </w:tc>
    </w:tr>
  </w:tbl>
  <w:p w:rsidR="00667431" w:rsidRPr="00AB52D4" w:rsidRDefault="0066743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E3"/>
    <w:multiLevelType w:val="hybridMultilevel"/>
    <w:tmpl w:val="8F5A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8B6"/>
    <w:multiLevelType w:val="hybridMultilevel"/>
    <w:tmpl w:val="671C04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B558E"/>
    <w:multiLevelType w:val="hybridMultilevel"/>
    <w:tmpl w:val="E6B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571BF"/>
    <w:multiLevelType w:val="hybridMultilevel"/>
    <w:tmpl w:val="EDFC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72B42"/>
    <w:multiLevelType w:val="hybridMultilevel"/>
    <w:tmpl w:val="63DC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D077E"/>
    <w:multiLevelType w:val="hybridMultilevel"/>
    <w:tmpl w:val="3B4A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9624B"/>
    <w:multiLevelType w:val="hybridMultilevel"/>
    <w:tmpl w:val="E6B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8457D"/>
    <w:multiLevelType w:val="hybridMultilevel"/>
    <w:tmpl w:val="0526C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0B3BF5"/>
    <w:multiLevelType w:val="hybridMultilevel"/>
    <w:tmpl w:val="DE32DCC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4BBC1DC2"/>
    <w:multiLevelType w:val="hybridMultilevel"/>
    <w:tmpl w:val="A0C2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A38C9"/>
    <w:multiLevelType w:val="hybridMultilevel"/>
    <w:tmpl w:val="FD3EDDF8"/>
    <w:lvl w:ilvl="0" w:tplc="0409000F">
      <w:start w:val="1"/>
      <w:numFmt w:val="decimal"/>
      <w:lvlText w:val="%1."/>
      <w:lvlJc w:val="left"/>
      <w:pPr>
        <w:ind w:left="720" w:hanging="360"/>
      </w:pPr>
      <w:rPr>
        <w:rFonts w:hint="default"/>
      </w:rPr>
    </w:lvl>
    <w:lvl w:ilvl="1" w:tplc="10C0D6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20900"/>
    <w:multiLevelType w:val="hybridMultilevel"/>
    <w:tmpl w:val="A5DA1034"/>
    <w:lvl w:ilvl="0" w:tplc="0409000F">
      <w:start w:val="1"/>
      <w:numFmt w:val="decimal"/>
      <w:lvlText w:val="%1."/>
      <w:lvlJc w:val="left"/>
      <w:pPr>
        <w:ind w:left="720" w:hanging="360"/>
      </w:pPr>
      <w:rPr>
        <w:rFonts w:hint="default"/>
      </w:rPr>
    </w:lvl>
    <w:lvl w:ilvl="1" w:tplc="D62E4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161F5"/>
    <w:multiLevelType w:val="hybridMultilevel"/>
    <w:tmpl w:val="8160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63CC8"/>
    <w:multiLevelType w:val="hybridMultilevel"/>
    <w:tmpl w:val="E68A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0"/>
  </w:num>
  <w:num w:numId="10">
    <w:abstractNumId w:val="12"/>
  </w:num>
  <w:num w:numId="11">
    <w:abstractNumId w:val="13"/>
  </w:num>
  <w:num w:numId="12">
    <w:abstractNumId w:val="9"/>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252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99"/>
    <w:rsid w:val="000005C5"/>
    <w:rsid w:val="00000A8A"/>
    <w:rsid w:val="00001B11"/>
    <w:rsid w:val="000047E2"/>
    <w:rsid w:val="0000663C"/>
    <w:rsid w:val="0000727B"/>
    <w:rsid w:val="00007B30"/>
    <w:rsid w:val="000214AB"/>
    <w:rsid w:val="00025200"/>
    <w:rsid w:val="00025391"/>
    <w:rsid w:val="00025D80"/>
    <w:rsid w:val="00026C2C"/>
    <w:rsid w:val="000272AF"/>
    <w:rsid w:val="000277FD"/>
    <w:rsid w:val="00031DFC"/>
    <w:rsid w:val="00032238"/>
    <w:rsid w:val="000329AB"/>
    <w:rsid w:val="0003621E"/>
    <w:rsid w:val="00037217"/>
    <w:rsid w:val="00042F74"/>
    <w:rsid w:val="000443A9"/>
    <w:rsid w:val="000452FF"/>
    <w:rsid w:val="00047D07"/>
    <w:rsid w:val="0005362C"/>
    <w:rsid w:val="000536A6"/>
    <w:rsid w:val="00057A6E"/>
    <w:rsid w:val="000608D0"/>
    <w:rsid w:val="00061D82"/>
    <w:rsid w:val="00064BFB"/>
    <w:rsid w:val="00070D01"/>
    <w:rsid w:val="000734D9"/>
    <w:rsid w:val="00075A8A"/>
    <w:rsid w:val="00077F17"/>
    <w:rsid w:val="00082ED7"/>
    <w:rsid w:val="00086C6A"/>
    <w:rsid w:val="00095BCC"/>
    <w:rsid w:val="000A17A4"/>
    <w:rsid w:val="000A1EEA"/>
    <w:rsid w:val="000A697D"/>
    <w:rsid w:val="000B1E9C"/>
    <w:rsid w:val="000B47A6"/>
    <w:rsid w:val="000C01CF"/>
    <w:rsid w:val="000C218D"/>
    <w:rsid w:val="000D0DD8"/>
    <w:rsid w:val="000D1EDC"/>
    <w:rsid w:val="000D4027"/>
    <w:rsid w:val="000D5A8D"/>
    <w:rsid w:val="000F128C"/>
    <w:rsid w:val="000F1471"/>
    <w:rsid w:val="000F66F9"/>
    <w:rsid w:val="0010489F"/>
    <w:rsid w:val="00104EB7"/>
    <w:rsid w:val="00123838"/>
    <w:rsid w:val="00131067"/>
    <w:rsid w:val="001312E5"/>
    <w:rsid w:val="001317CB"/>
    <w:rsid w:val="00131B41"/>
    <w:rsid w:val="0013243E"/>
    <w:rsid w:val="0014030A"/>
    <w:rsid w:val="001417CF"/>
    <w:rsid w:val="00143E38"/>
    <w:rsid w:val="00157DBE"/>
    <w:rsid w:val="00161429"/>
    <w:rsid w:val="00161BD1"/>
    <w:rsid w:val="001625F4"/>
    <w:rsid w:val="001735A3"/>
    <w:rsid w:val="00174E1B"/>
    <w:rsid w:val="00180135"/>
    <w:rsid w:val="00180E2D"/>
    <w:rsid w:val="001828A7"/>
    <w:rsid w:val="00182AF1"/>
    <w:rsid w:val="00183485"/>
    <w:rsid w:val="001847C7"/>
    <w:rsid w:val="0018525D"/>
    <w:rsid w:val="00185D06"/>
    <w:rsid w:val="00197399"/>
    <w:rsid w:val="001A03CD"/>
    <w:rsid w:val="001A321E"/>
    <w:rsid w:val="001A4FCC"/>
    <w:rsid w:val="001A543A"/>
    <w:rsid w:val="001B3329"/>
    <w:rsid w:val="001B3931"/>
    <w:rsid w:val="001B4A0F"/>
    <w:rsid w:val="001B536E"/>
    <w:rsid w:val="001B61A4"/>
    <w:rsid w:val="001B6EAB"/>
    <w:rsid w:val="001C0110"/>
    <w:rsid w:val="001C3E8B"/>
    <w:rsid w:val="001C5C96"/>
    <w:rsid w:val="001D5566"/>
    <w:rsid w:val="001D61ED"/>
    <w:rsid w:val="001E2662"/>
    <w:rsid w:val="001E427E"/>
    <w:rsid w:val="001E5AB9"/>
    <w:rsid w:val="001E5CE0"/>
    <w:rsid w:val="001F25C3"/>
    <w:rsid w:val="001F3C7E"/>
    <w:rsid w:val="001F57A5"/>
    <w:rsid w:val="001F5A38"/>
    <w:rsid w:val="00203149"/>
    <w:rsid w:val="00203BDB"/>
    <w:rsid w:val="00204DDD"/>
    <w:rsid w:val="00206DF8"/>
    <w:rsid w:val="002131FA"/>
    <w:rsid w:val="00213726"/>
    <w:rsid w:val="0021671D"/>
    <w:rsid w:val="00226580"/>
    <w:rsid w:val="002343BE"/>
    <w:rsid w:val="00236AFC"/>
    <w:rsid w:val="00245499"/>
    <w:rsid w:val="00250E0A"/>
    <w:rsid w:val="0025393B"/>
    <w:rsid w:val="00262336"/>
    <w:rsid w:val="002633E0"/>
    <w:rsid w:val="0026647D"/>
    <w:rsid w:val="0027057A"/>
    <w:rsid w:val="00276D58"/>
    <w:rsid w:val="00277289"/>
    <w:rsid w:val="00277766"/>
    <w:rsid w:val="0028130E"/>
    <w:rsid w:val="0028266B"/>
    <w:rsid w:val="00284483"/>
    <w:rsid w:val="00284EB4"/>
    <w:rsid w:val="00285DC0"/>
    <w:rsid w:val="002910A1"/>
    <w:rsid w:val="00292B32"/>
    <w:rsid w:val="00292D9F"/>
    <w:rsid w:val="002A0017"/>
    <w:rsid w:val="002A0EE3"/>
    <w:rsid w:val="002A30A4"/>
    <w:rsid w:val="002A35CA"/>
    <w:rsid w:val="002A5E3C"/>
    <w:rsid w:val="002B3E3A"/>
    <w:rsid w:val="002B7145"/>
    <w:rsid w:val="002C5523"/>
    <w:rsid w:val="002D0DFF"/>
    <w:rsid w:val="002D36D6"/>
    <w:rsid w:val="002D5D46"/>
    <w:rsid w:val="002D69FB"/>
    <w:rsid w:val="002D7338"/>
    <w:rsid w:val="002D7DD7"/>
    <w:rsid w:val="002E0265"/>
    <w:rsid w:val="002E5E72"/>
    <w:rsid w:val="002E723A"/>
    <w:rsid w:val="002E76BB"/>
    <w:rsid w:val="002F0BA9"/>
    <w:rsid w:val="002F42D5"/>
    <w:rsid w:val="002F6C74"/>
    <w:rsid w:val="003029BE"/>
    <w:rsid w:val="0030375E"/>
    <w:rsid w:val="00303A82"/>
    <w:rsid w:val="00305C48"/>
    <w:rsid w:val="00307241"/>
    <w:rsid w:val="003116F5"/>
    <w:rsid w:val="00312C61"/>
    <w:rsid w:val="003148BD"/>
    <w:rsid w:val="00314BCD"/>
    <w:rsid w:val="00315E12"/>
    <w:rsid w:val="00322458"/>
    <w:rsid w:val="003274F3"/>
    <w:rsid w:val="0033113B"/>
    <w:rsid w:val="0033135B"/>
    <w:rsid w:val="003344C6"/>
    <w:rsid w:val="00334F12"/>
    <w:rsid w:val="00342DA8"/>
    <w:rsid w:val="00343E5E"/>
    <w:rsid w:val="0034462C"/>
    <w:rsid w:val="00346ECB"/>
    <w:rsid w:val="00346F05"/>
    <w:rsid w:val="00347814"/>
    <w:rsid w:val="00347CA6"/>
    <w:rsid w:val="00353C1F"/>
    <w:rsid w:val="003546A6"/>
    <w:rsid w:val="00357A75"/>
    <w:rsid w:val="003602B0"/>
    <w:rsid w:val="0036295B"/>
    <w:rsid w:val="00364FBB"/>
    <w:rsid w:val="00365F96"/>
    <w:rsid w:val="00370F62"/>
    <w:rsid w:val="00380E6A"/>
    <w:rsid w:val="003843C2"/>
    <w:rsid w:val="0038540B"/>
    <w:rsid w:val="00387516"/>
    <w:rsid w:val="00387C4F"/>
    <w:rsid w:val="0039110F"/>
    <w:rsid w:val="003937A2"/>
    <w:rsid w:val="00396ED0"/>
    <w:rsid w:val="003A5563"/>
    <w:rsid w:val="003A6880"/>
    <w:rsid w:val="003A75CA"/>
    <w:rsid w:val="003B08D1"/>
    <w:rsid w:val="003B28EB"/>
    <w:rsid w:val="003B3D41"/>
    <w:rsid w:val="003B55FB"/>
    <w:rsid w:val="003C683D"/>
    <w:rsid w:val="003C6D09"/>
    <w:rsid w:val="003C72EF"/>
    <w:rsid w:val="003E0174"/>
    <w:rsid w:val="003E5935"/>
    <w:rsid w:val="003F2599"/>
    <w:rsid w:val="003F3E1A"/>
    <w:rsid w:val="003F662B"/>
    <w:rsid w:val="004001F1"/>
    <w:rsid w:val="00406CBE"/>
    <w:rsid w:val="00407D35"/>
    <w:rsid w:val="00411FAB"/>
    <w:rsid w:val="00420DA8"/>
    <w:rsid w:val="00421182"/>
    <w:rsid w:val="004222B4"/>
    <w:rsid w:val="004233D0"/>
    <w:rsid w:val="0042358D"/>
    <w:rsid w:val="00430034"/>
    <w:rsid w:val="00441AE4"/>
    <w:rsid w:val="004426E2"/>
    <w:rsid w:val="00444E03"/>
    <w:rsid w:val="004455C1"/>
    <w:rsid w:val="00445D30"/>
    <w:rsid w:val="00447EB5"/>
    <w:rsid w:val="004514D0"/>
    <w:rsid w:val="00453A63"/>
    <w:rsid w:val="00453A9C"/>
    <w:rsid w:val="00456DEF"/>
    <w:rsid w:val="0047204F"/>
    <w:rsid w:val="004720CD"/>
    <w:rsid w:val="00473A41"/>
    <w:rsid w:val="00477BEA"/>
    <w:rsid w:val="00481B49"/>
    <w:rsid w:val="00482E37"/>
    <w:rsid w:val="004855CF"/>
    <w:rsid w:val="00487CF8"/>
    <w:rsid w:val="004910BE"/>
    <w:rsid w:val="0049278E"/>
    <w:rsid w:val="00493EDD"/>
    <w:rsid w:val="00495B53"/>
    <w:rsid w:val="00496028"/>
    <w:rsid w:val="004A49AF"/>
    <w:rsid w:val="004B2698"/>
    <w:rsid w:val="004B3E7F"/>
    <w:rsid w:val="004B56A9"/>
    <w:rsid w:val="004B586B"/>
    <w:rsid w:val="004B69CB"/>
    <w:rsid w:val="004C37A1"/>
    <w:rsid w:val="004C58F4"/>
    <w:rsid w:val="004D02BE"/>
    <w:rsid w:val="004D0DA4"/>
    <w:rsid w:val="004D12F3"/>
    <w:rsid w:val="004D4BFD"/>
    <w:rsid w:val="004D5613"/>
    <w:rsid w:val="004D7063"/>
    <w:rsid w:val="004D7472"/>
    <w:rsid w:val="004D75E9"/>
    <w:rsid w:val="004D7B69"/>
    <w:rsid w:val="004E5FBA"/>
    <w:rsid w:val="004E64C4"/>
    <w:rsid w:val="004F4387"/>
    <w:rsid w:val="004F46BA"/>
    <w:rsid w:val="004F5BFD"/>
    <w:rsid w:val="004F6400"/>
    <w:rsid w:val="005019D8"/>
    <w:rsid w:val="00505CEA"/>
    <w:rsid w:val="005064E5"/>
    <w:rsid w:val="00506C35"/>
    <w:rsid w:val="005103D2"/>
    <w:rsid w:val="00510B63"/>
    <w:rsid w:val="0051688B"/>
    <w:rsid w:val="00516CA4"/>
    <w:rsid w:val="005245E1"/>
    <w:rsid w:val="0052531A"/>
    <w:rsid w:val="00525A4E"/>
    <w:rsid w:val="00527C5B"/>
    <w:rsid w:val="0053344E"/>
    <w:rsid w:val="00543725"/>
    <w:rsid w:val="0054510D"/>
    <w:rsid w:val="00546867"/>
    <w:rsid w:val="0055141F"/>
    <w:rsid w:val="00551640"/>
    <w:rsid w:val="0055610D"/>
    <w:rsid w:val="0055691C"/>
    <w:rsid w:val="00557497"/>
    <w:rsid w:val="00557ECD"/>
    <w:rsid w:val="00561515"/>
    <w:rsid w:val="00563CAB"/>
    <w:rsid w:val="00565FC6"/>
    <w:rsid w:val="00572720"/>
    <w:rsid w:val="00575725"/>
    <w:rsid w:val="00580227"/>
    <w:rsid w:val="005901E8"/>
    <w:rsid w:val="00592709"/>
    <w:rsid w:val="005A0650"/>
    <w:rsid w:val="005A3AB7"/>
    <w:rsid w:val="005A5FFE"/>
    <w:rsid w:val="005B3A1A"/>
    <w:rsid w:val="005B5342"/>
    <w:rsid w:val="005B597D"/>
    <w:rsid w:val="005C1718"/>
    <w:rsid w:val="005C3CD4"/>
    <w:rsid w:val="005C43A6"/>
    <w:rsid w:val="005C585C"/>
    <w:rsid w:val="005D2FC4"/>
    <w:rsid w:val="005D3070"/>
    <w:rsid w:val="005D44A6"/>
    <w:rsid w:val="005D4EE3"/>
    <w:rsid w:val="005D5506"/>
    <w:rsid w:val="005D6F68"/>
    <w:rsid w:val="005D7E11"/>
    <w:rsid w:val="005E04BB"/>
    <w:rsid w:val="005E7FCE"/>
    <w:rsid w:val="005F0E32"/>
    <w:rsid w:val="005F1281"/>
    <w:rsid w:val="005F15C3"/>
    <w:rsid w:val="005F1F22"/>
    <w:rsid w:val="005F419F"/>
    <w:rsid w:val="005F5E1A"/>
    <w:rsid w:val="005F6287"/>
    <w:rsid w:val="006000D7"/>
    <w:rsid w:val="00600E35"/>
    <w:rsid w:val="006051E5"/>
    <w:rsid w:val="00605D02"/>
    <w:rsid w:val="00610F29"/>
    <w:rsid w:val="006138A5"/>
    <w:rsid w:val="00616C4F"/>
    <w:rsid w:val="00616C7B"/>
    <w:rsid w:val="006203B8"/>
    <w:rsid w:val="00620555"/>
    <w:rsid w:val="006219FF"/>
    <w:rsid w:val="006246B6"/>
    <w:rsid w:val="00624BA9"/>
    <w:rsid w:val="006356B1"/>
    <w:rsid w:val="00635754"/>
    <w:rsid w:val="00635D45"/>
    <w:rsid w:val="00637131"/>
    <w:rsid w:val="006404C0"/>
    <w:rsid w:val="00642C89"/>
    <w:rsid w:val="00642D2D"/>
    <w:rsid w:val="00643519"/>
    <w:rsid w:val="00647B05"/>
    <w:rsid w:val="00654983"/>
    <w:rsid w:val="00656663"/>
    <w:rsid w:val="00662F79"/>
    <w:rsid w:val="006659C4"/>
    <w:rsid w:val="00667431"/>
    <w:rsid w:val="00673B97"/>
    <w:rsid w:val="00675C39"/>
    <w:rsid w:val="0068005B"/>
    <w:rsid w:val="00683BCC"/>
    <w:rsid w:val="006862DC"/>
    <w:rsid w:val="00687BFF"/>
    <w:rsid w:val="006972A3"/>
    <w:rsid w:val="006A0020"/>
    <w:rsid w:val="006A0DCA"/>
    <w:rsid w:val="006A1E06"/>
    <w:rsid w:val="006A29EC"/>
    <w:rsid w:val="006A2BE2"/>
    <w:rsid w:val="006A5787"/>
    <w:rsid w:val="006A5EA8"/>
    <w:rsid w:val="006A6F74"/>
    <w:rsid w:val="006B026F"/>
    <w:rsid w:val="006B111C"/>
    <w:rsid w:val="006B4CDD"/>
    <w:rsid w:val="006C1AEC"/>
    <w:rsid w:val="006C4A1C"/>
    <w:rsid w:val="006C553F"/>
    <w:rsid w:val="006C71DF"/>
    <w:rsid w:val="006C787A"/>
    <w:rsid w:val="006D3D6F"/>
    <w:rsid w:val="006D4AE4"/>
    <w:rsid w:val="006D4CBA"/>
    <w:rsid w:val="006E0982"/>
    <w:rsid w:val="006E3781"/>
    <w:rsid w:val="006E3CC5"/>
    <w:rsid w:val="006E523D"/>
    <w:rsid w:val="006E7E88"/>
    <w:rsid w:val="006F0C66"/>
    <w:rsid w:val="006F5B03"/>
    <w:rsid w:val="006F7EAB"/>
    <w:rsid w:val="00703C4C"/>
    <w:rsid w:val="00703C8A"/>
    <w:rsid w:val="00706338"/>
    <w:rsid w:val="00706D7D"/>
    <w:rsid w:val="00711284"/>
    <w:rsid w:val="00715007"/>
    <w:rsid w:val="00720D0C"/>
    <w:rsid w:val="00744640"/>
    <w:rsid w:val="00745DEF"/>
    <w:rsid w:val="00750A14"/>
    <w:rsid w:val="0075410A"/>
    <w:rsid w:val="00755BE7"/>
    <w:rsid w:val="00757494"/>
    <w:rsid w:val="0076010B"/>
    <w:rsid w:val="007621AA"/>
    <w:rsid w:val="0076349B"/>
    <w:rsid w:val="00763D0D"/>
    <w:rsid w:val="00766735"/>
    <w:rsid w:val="00770952"/>
    <w:rsid w:val="00771AD2"/>
    <w:rsid w:val="00771BE0"/>
    <w:rsid w:val="00775593"/>
    <w:rsid w:val="00780F54"/>
    <w:rsid w:val="00785DCD"/>
    <w:rsid w:val="007A06F0"/>
    <w:rsid w:val="007A1622"/>
    <w:rsid w:val="007A2ED9"/>
    <w:rsid w:val="007A493B"/>
    <w:rsid w:val="007A797A"/>
    <w:rsid w:val="007B0F16"/>
    <w:rsid w:val="007C7024"/>
    <w:rsid w:val="007D15AA"/>
    <w:rsid w:val="007D4A4A"/>
    <w:rsid w:val="007D7A58"/>
    <w:rsid w:val="007E220F"/>
    <w:rsid w:val="007E3061"/>
    <w:rsid w:val="007F4D3F"/>
    <w:rsid w:val="007F4FB5"/>
    <w:rsid w:val="00802644"/>
    <w:rsid w:val="00803BD6"/>
    <w:rsid w:val="0080568F"/>
    <w:rsid w:val="008061F1"/>
    <w:rsid w:val="008102C7"/>
    <w:rsid w:val="0081271F"/>
    <w:rsid w:val="00816D5B"/>
    <w:rsid w:val="00822DF0"/>
    <w:rsid w:val="00824731"/>
    <w:rsid w:val="00825C8A"/>
    <w:rsid w:val="00830B56"/>
    <w:rsid w:val="00831D92"/>
    <w:rsid w:val="00832813"/>
    <w:rsid w:val="00833043"/>
    <w:rsid w:val="00833E57"/>
    <w:rsid w:val="008348C0"/>
    <w:rsid w:val="00837C62"/>
    <w:rsid w:val="00837DBF"/>
    <w:rsid w:val="00840E27"/>
    <w:rsid w:val="00841748"/>
    <w:rsid w:val="0084201C"/>
    <w:rsid w:val="00843C75"/>
    <w:rsid w:val="00845CB8"/>
    <w:rsid w:val="00846E29"/>
    <w:rsid w:val="00851C19"/>
    <w:rsid w:val="00852AD0"/>
    <w:rsid w:val="00852B06"/>
    <w:rsid w:val="008534BD"/>
    <w:rsid w:val="0085550C"/>
    <w:rsid w:val="0085678E"/>
    <w:rsid w:val="0086149A"/>
    <w:rsid w:val="008620AC"/>
    <w:rsid w:val="00864607"/>
    <w:rsid w:val="0086533A"/>
    <w:rsid w:val="008724EF"/>
    <w:rsid w:val="00872BE5"/>
    <w:rsid w:val="00876702"/>
    <w:rsid w:val="0088118C"/>
    <w:rsid w:val="00881C52"/>
    <w:rsid w:val="00885064"/>
    <w:rsid w:val="008861B2"/>
    <w:rsid w:val="00886D59"/>
    <w:rsid w:val="00890F25"/>
    <w:rsid w:val="00893F71"/>
    <w:rsid w:val="00896532"/>
    <w:rsid w:val="00897A34"/>
    <w:rsid w:val="00897D00"/>
    <w:rsid w:val="008A17FF"/>
    <w:rsid w:val="008B27B9"/>
    <w:rsid w:val="008B7F31"/>
    <w:rsid w:val="008C2615"/>
    <w:rsid w:val="008C6AE7"/>
    <w:rsid w:val="008D1B13"/>
    <w:rsid w:val="008D357D"/>
    <w:rsid w:val="008D5A1C"/>
    <w:rsid w:val="008D6EA0"/>
    <w:rsid w:val="008D7129"/>
    <w:rsid w:val="008E7FF5"/>
    <w:rsid w:val="00900CE8"/>
    <w:rsid w:val="00911B53"/>
    <w:rsid w:val="00912C11"/>
    <w:rsid w:val="00922F89"/>
    <w:rsid w:val="0092560B"/>
    <w:rsid w:val="009267C1"/>
    <w:rsid w:val="00933837"/>
    <w:rsid w:val="00940724"/>
    <w:rsid w:val="00942C26"/>
    <w:rsid w:val="00943BE7"/>
    <w:rsid w:val="00944C31"/>
    <w:rsid w:val="00946104"/>
    <w:rsid w:val="00947901"/>
    <w:rsid w:val="00953626"/>
    <w:rsid w:val="0095595F"/>
    <w:rsid w:val="00961019"/>
    <w:rsid w:val="00961DE0"/>
    <w:rsid w:val="00970AC4"/>
    <w:rsid w:val="0097139A"/>
    <w:rsid w:val="00972C72"/>
    <w:rsid w:val="00972C77"/>
    <w:rsid w:val="00973950"/>
    <w:rsid w:val="00973CB8"/>
    <w:rsid w:val="00974378"/>
    <w:rsid w:val="00974B89"/>
    <w:rsid w:val="00974D39"/>
    <w:rsid w:val="0097513F"/>
    <w:rsid w:val="009801A6"/>
    <w:rsid w:val="00981236"/>
    <w:rsid w:val="0098515E"/>
    <w:rsid w:val="00993480"/>
    <w:rsid w:val="0099477A"/>
    <w:rsid w:val="00997519"/>
    <w:rsid w:val="009A4417"/>
    <w:rsid w:val="009A660F"/>
    <w:rsid w:val="009B16A5"/>
    <w:rsid w:val="009B697E"/>
    <w:rsid w:val="009B699D"/>
    <w:rsid w:val="009B70FE"/>
    <w:rsid w:val="009B7F95"/>
    <w:rsid w:val="009C0E73"/>
    <w:rsid w:val="009C1FE1"/>
    <w:rsid w:val="009C2421"/>
    <w:rsid w:val="009C2442"/>
    <w:rsid w:val="009C44A6"/>
    <w:rsid w:val="009C5F27"/>
    <w:rsid w:val="009C7BF0"/>
    <w:rsid w:val="009D0E66"/>
    <w:rsid w:val="009D4EDE"/>
    <w:rsid w:val="009D63E8"/>
    <w:rsid w:val="009E35FE"/>
    <w:rsid w:val="009E536A"/>
    <w:rsid w:val="009F07A0"/>
    <w:rsid w:val="009F117F"/>
    <w:rsid w:val="009F1D68"/>
    <w:rsid w:val="009F1F02"/>
    <w:rsid w:val="009F4BA4"/>
    <w:rsid w:val="00A0082A"/>
    <w:rsid w:val="00A01A55"/>
    <w:rsid w:val="00A02C18"/>
    <w:rsid w:val="00A02CDC"/>
    <w:rsid w:val="00A043A4"/>
    <w:rsid w:val="00A07D05"/>
    <w:rsid w:val="00A106FC"/>
    <w:rsid w:val="00A11247"/>
    <w:rsid w:val="00A13531"/>
    <w:rsid w:val="00A142A0"/>
    <w:rsid w:val="00A16AE0"/>
    <w:rsid w:val="00A17133"/>
    <w:rsid w:val="00A1764A"/>
    <w:rsid w:val="00A20BB2"/>
    <w:rsid w:val="00A23E83"/>
    <w:rsid w:val="00A2601A"/>
    <w:rsid w:val="00A3203C"/>
    <w:rsid w:val="00A32BFC"/>
    <w:rsid w:val="00A408DB"/>
    <w:rsid w:val="00A43EEA"/>
    <w:rsid w:val="00A4729C"/>
    <w:rsid w:val="00A47403"/>
    <w:rsid w:val="00A520BF"/>
    <w:rsid w:val="00A56A64"/>
    <w:rsid w:val="00A60674"/>
    <w:rsid w:val="00A606B0"/>
    <w:rsid w:val="00A70442"/>
    <w:rsid w:val="00A70C56"/>
    <w:rsid w:val="00A759E2"/>
    <w:rsid w:val="00A87D3A"/>
    <w:rsid w:val="00A94A52"/>
    <w:rsid w:val="00A95EDC"/>
    <w:rsid w:val="00A960EA"/>
    <w:rsid w:val="00AA1339"/>
    <w:rsid w:val="00AA66D5"/>
    <w:rsid w:val="00AB52D4"/>
    <w:rsid w:val="00AB580C"/>
    <w:rsid w:val="00AB76EF"/>
    <w:rsid w:val="00AC092E"/>
    <w:rsid w:val="00AC0E5F"/>
    <w:rsid w:val="00AC493E"/>
    <w:rsid w:val="00AC5EAF"/>
    <w:rsid w:val="00AC685E"/>
    <w:rsid w:val="00AD4A89"/>
    <w:rsid w:val="00AD4F0E"/>
    <w:rsid w:val="00AD5248"/>
    <w:rsid w:val="00AD5B4E"/>
    <w:rsid w:val="00AD7F4F"/>
    <w:rsid w:val="00AF09FD"/>
    <w:rsid w:val="00AF15FB"/>
    <w:rsid w:val="00AF47FA"/>
    <w:rsid w:val="00AF4F07"/>
    <w:rsid w:val="00AF6FD7"/>
    <w:rsid w:val="00B00742"/>
    <w:rsid w:val="00B00E3B"/>
    <w:rsid w:val="00B01BA9"/>
    <w:rsid w:val="00B0470F"/>
    <w:rsid w:val="00B05A6E"/>
    <w:rsid w:val="00B071D2"/>
    <w:rsid w:val="00B07D58"/>
    <w:rsid w:val="00B124AF"/>
    <w:rsid w:val="00B12CB7"/>
    <w:rsid w:val="00B13C9A"/>
    <w:rsid w:val="00B1455B"/>
    <w:rsid w:val="00B202A9"/>
    <w:rsid w:val="00B26884"/>
    <w:rsid w:val="00B30689"/>
    <w:rsid w:val="00B33BD5"/>
    <w:rsid w:val="00B3738E"/>
    <w:rsid w:val="00B378DB"/>
    <w:rsid w:val="00B40663"/>
    <w:rsid w:val="00B41635"/>
    <w:rsid w:val="00B44020"/>
    <w:rsid w:val="00B44393"/>
    <w:rsid w:val="00B44B55"/>
    <w:rsid w:val="00B5544D"/>
    <w:rsid w:val="00B60BBA"/>
    <w:rsid w:val="00B612E9"/>
    <w:rsid w:val="00B627EA"/>
    <w:rsid w:val="00B63767"/>
    <w:rsid w:val="00B6555F"/>
    <w:rsid w:val="00B7330D"/>
    <w:rsid w:val="00B74D93"/>
    <w:rsid w:val="00B765A4"/>
    <w:rsid w:val="00B76BAA"/>
    <w:rsid w:val="00B80E2F"/>
    <w:rsid w:val="00B82674"/>
    <w:rsid w:val="00B84C89"/>
    <w:rsid w:val="00B90040"/>
    <w:rsid w:val="00B96E51"/>
    <w:rsid w:val="00BA12C5"/>
    <w:rsid w:val="00BA1AED"/>
    <w:rsid w:val="00BA23A4"/>
    <w:rsid w:val="00BA4697"/>
    <w:rsid w:val="00BB2312"/>
    <w:rsid w:val="00BB375A"/>
    <w:rsid w:val="00BB7D5D"/>
    <w:rsid w:val="00BC22E3"/>
    <w:rsid w:val="00BC5F00"/>
    <w:rsid w:val="00BD0245"/>
    <w:rsid w:val="00BD303B"/>
    <w:rsid w:val="00BD5264"/>
    <w:rsid w:val="00BE1B8E"/>
    <w:rsid w:val="00BE4412"/>
    <w:rsid w:val="00BE6657"/>
    <w:rsid w:val="00BE75ED"/>
    <w:rsid w:val="00BE7873"/>
    <w:rsid w:val="00BF2A60"/>
    <w:rsid w:val="00BF4085"/>
    <w:rsid w:val="00BF5E34"/>
    <w:rsid w:val="00C00F6D"/>
    <w:rsid w:val="00C023F0"/>
    <w:rsid w:val="00C03417"/>
    <w:rsid w:val="00C03800"/>
    <w:rsid w:val="00C06D8F"/>
    <w:rsid w:val="00C10A8A"/>
    <w:rsid w:val="00C10F17"/>
    <w:rsid w:val="00C11499"/>
    <w:rsid w:val="00C17754"/>
    <w:rsid w:val="00C17D9E"/>
    <w:rsid w:val="00C234D1"/>
    <w:rsid w:val="00C23E25"/>
    <w:rsid w:val="00C31F3E"/>
    <w:rsid w:val="00C31F88"/>
    <w:rsid w:val="00C40D37"/>
    <w:rsid w:val="00C44083"/>
    <w:rsid w:val="00C479B2"/>
    <w:rsid w:val="00C50CEA"/>
    <w:rsid w:val="00C51BAF"/>
    <w:rsid w:val="00C52563"/>
    <w:rsid w:val="00C52801"/>
    <w:rsid w:val="00C52885"/>
    <w:rsid w:val="00C52F68"/>
    <w:rsid w:val="00C62938"/>
    <w:rsid w:val="00C6439F"/>
    <w:rsid w:val="00C65172"/>
    <w:rsid w:val="00C659EA"/>
    <w:rsid w:val="00C66430"/>
    <w:rsid w:val="00C67935"/>
    <w:rsid w:val="00C67D2D"/>
    <w:rsid w:val="00C70B53"/>
    <w:rsid w:val="00C71396"/>
    <w:rsid w:val="00C72DEF"/>
    <w:rsid w:val="00C743B8"/>
    <w:rsid w:val="00C81698"/>
    <w:rsid w:val="00C8254A"/>
    <w:rsid w:val="00C8750B"/>
    <w:rsid w:val="00C90591"/>
    <w:rsid w:val="00C90FDB"/>
    <w:rsid w:val="00C920BB"/>
    <w:rsid w:val="00C92831"/>
    <w:rsid w:val="00C943C9"/>
    <w:rsid w:val="00C96059"/>
    <w:rsid w:val="00CB1262"/>
    <w:rsid w:val="00CB2BE5"/>
    <w:rsid w:val="00CB376D"/>
    <w:rsid w:val="00CB45D0"/>
    <w:rsid w:val="00CB55C5"/>
    <w:rsid w:val="00CC36A9"/>
    <w:rsid w:val="00CC56D2"/>
    <w:rsid w:val="00CC5BDC"/>
    <w:rsid w:val="00CC61E4"/>
    <w:rsid w:val="00CC7F72"/>
    <w:rsid w:val="00CD00F6"/>
    <w:rsid w:val="00CD05A3"/>
    <w:rsid w:val="00CD4268"/>
    <w:rsid w:val="00CD671E"/>
    <w:rsid w:val="00CE4AB1"/>
    <w:rsid w:val="00CE7433"/>
    <w:rsid w:val="00CF5A7A"/>
    <w:rsid w:val="00CF5D24"/>
    <w:rsid w:val="00D038E2"/>
    <w:rsid w:val="00D061CF"/>
    <w:rsid w:val="00D1002B"/>
    <w:rsid w:val="00D11033"/>
    <w:rsid w:val="00D1156B"/>
    <w:rsid w:val="00D12614"/>
    <w:rsid w:val="00D13BD4"/>
    <w:rsid w:val="00D14E7C"/>
    <w:rsid w:val="00D17383"/>
    <w:rsid w:val="00D22C4F"/>
    <w:rsid w:val="00D235A1"/>
    <w:rsid w:val="00D262BA"/>
    <w:rsid w:val="00D3311D"/>
    <w:rsid w:val="00D409F7"/>
    <w:rsid w:val="00D40BAC"/>
    <w:rsid w:val="00D42745"/>
    <w:rsid w:val="00D428CB"/>
    <w:rsid w:val="00D42AC4"/>
    <w:rsid w:val="00D43EF9"/>
    <w:rsid w:val="00D4483A"/>
    <w:rsid w:val="00D4618E"/>
    <w:rsid w:val="00D50211"/>
    <w:rsid w:val="00D53552"/>
    <w:rsid w:val="00D55759"/>
    <w:rsid w:val="00D56CE1"/>
    <w:rsid w:val="00D652C5"/>
    <w:rsid w:val="00D65D67"/>
    <w:rsid w:val="00D66765"/>
    <w:rsid w:val="00D70112"/>
    <w:rsid w:val="00D7105B"/>
    <w:rsid w:val="00D72C0A"/>
    <w:rsid w:val="00D74615"/>
    <w:rsid w:val="00D747DB"/>
    <w:rsid w:val="00D81315"/>
    <w:rsid w:val="00D865A9"/>
    <w:rsid w:val="00D90243"/>
    <w:rsid w:val="00D94521"/>
    <w:rsid w:val="00D947B9"/>
    <w:rsid w:val="00D9612E"/>
    <w:rsid w:val="00D97945"/>
    <w:rsid w:val="00DA1DD5"/>
    <w:rsid w:val="00DA2BBD"/>
    <w:rsid w:val="00DA380D"/>
    <w:rsid w:val="00DA5B2E"/>
    <w:rsid w:val="00DB441F"/>
    <w:rsid w:val="00DB47D0"/>
    <w:rsid w:val="00DB4D1D"/>
    <w:rsid w:val="00DB6F13"/>
    <w:rsid w:val="00DB7A06"/>
    <w:rsid w:val="00DD00E3"/>
    <w:rsid w:val="00DD01F0"/>
    <w:rsid w:val="00DD243C"/>
    <w:rsid w:val="00DD5B1B"/>
    <w:rsid w:val="00DD634B"/>
    <w:rsid w:val="00DD6720"/>
    <w:rsid w:val="00DD7263"/>
    <w:rsid w:val="00DE1F65"/>
    <w:rsid w:val="00DE275E"/>
    <w:rsid w:val="00DE77D6"/>
    <w:rsid w:val="00DF2936"/>
    <w:rsid w:val="00DF63F0"/>
    <w:rsid w:val="00DF6C71"/>
    <w:rsid w:val="00DF6E39"/>
    <w:rsid w:val="00DF7D0D"/>
    <w:rsid w:val="00E0157F"/>
    <w:rsid w:val="00E04D37"/>
    <w:rsid w:val="00E04F18"/>
    <w:rsid w:val="00E06C6F"/>
    <w:rsid w:val="00E10246"/>
    <w:rsid w:val="00E112C1"/>
    <w:rsid w:val="00E12B9C"/>
    <w:rsid w:val="00E12F72"/>
    <w:rsid w:val="00E14F7B"/>
    <w:rsid w:val="00E1526A"/>
    <w:rsid w:val="00E15FC1"/>
    <w:rsid w:val="00E171EA"/>
    <w:rsid w:val="00E177C3"/>
    <w:rsid w:val="00E2041D"/>
    <w:rsid w:val="00E21A86"/>
    <w:rsid w:val="00E24E5F"/>
    <w:rsid w:val="00E25956"/>
    <w:rsid w:val="00E27A75"/>
    <w:rsid w:val="00E33BCB"/>
    <w:rsid w:val="00E35B81"/>
    <w:rsid w:val="00E404DE"/>
    <w:rsid w:val="00E41051"/>
    <w:rsid w:val="00E437B8"/>
    <w:rsid w:val="00E4754D"/>
    <w:rsid w:val="00E50DD4"/>
    <w:rsid w:val="00E57A90"/>
    <w:rsid w:val="00E6095E"/>
    <w:rsid w:val="00E64E86"/>
    <w:rsid w:val="00E70849"/>
    <w:rsid w:val="00E7469A"/>
    <w:rsid w:val="00E74A5E"/>
    <w:rsid w:val="00E779FF"/>
    <w:rsid w:val="00E8171E"/>
    <w:rsid w:val="00E82E6D"/>
    <w:rsid w:val="00EA087B"/>
    <w:rsid w:val="00EA2C00"/>
    <w:rsid w:val="00EA3F83"/>
    <w:rsid w:val="00EA4B2C"/>
    <w:rsid w:val="00EA5180"/>
    <w:rsid w:val="00EA5D19"/>
    <w:rsid w:val="00EA72FC"/>
    <w:rsid w:val="00EA770D"/>
    <w:rsid w:val="00EA7A39"/>
    <w:rsid w:val="00EB206B"/>
    <w:rsid w:val="00EB5B5D"/>
    <w:rsid w:val="00EB6706"/>
    <w:rsid w:val="00EC01EF"/>
    <w:rsid w:val="00EC189C"/>
    <w:rsid w:val="00EC1B01"/>
    <w:rsid w:val="00EC310F"/>
    <w:rsid w:val="00EC393E"/>
    <w:rsid w:val="00EC5A4F"/>
    <w:rsid w:val="00EC628F"/>
    <w:rsid w:val="00EC6838"/>
    <w:rsid w:val="00ED1C13"/>
    <w:rsid w:val="00ED52C5"/>
    <w:rsid w:val="00ED693B"/>
    <w:rsid w:val="00ED70D4"/>
    <w:rsid w:val="00ED7760"/>
    <w:rsid w:val="00EE55E8"/>
    <w:rsid w:val="00EE611A"/>
    <w:rsid w:val="00EE6223"/>
    <w:rsid w:val="00EF3FED"/>
    <w:rsid w:val="00EF6AE9"/>
    <w:rsid w:val="00EF7494"/>
    <w:rsid w:val="00F06332"/>
    <w:rsid w:val="00F10168"/>
    <w:rsid w:val="00F107DD"/>
    <w:rsid w:val="00F13B87"/>
    <w:rsid w:val="00F16BC7"/>
    <w:rsid w:val="00F204A9"/>
    <w:rsid w:val="00F23EC3"/>
    <w:rsid w:val="00F25C76"/>
    <w:rsid w:val="00F303A3"/>
    <w:rsid w:val="00F30680"/>
    <w:rsid w:val="00F339BC"/>
    <w:rsid w:val="00F35127"/>
    <w:rsid w:val="00F415C5"/>
    <w:rsid w:val="00F41911"/>
    <w:rsid w:val="00F502A2"/>
    <w:rsid w:val="00F51502"/>
    <w:rsid w:val="00F51B82"/>
    <w:rsid w:val="00F55C93"/>
    <w:rsid w:val="00F57794"/>
    <w:rsid w:val="00F667DA"/>
    <w:rsid w:val="00F6735A"/>
    <w:rsid w:val="00F7106F"/>
    <w:rsid w:val="00F720A9"/>
    <w:rsid w:val="00F73F14"/>
    <w:rsid w:val="00F80008"/>
    <w:rsid w:val="00F84A52"/>
    <w:rsid w:val="00F86A5B"/>
    <w:rsid w:val="00F871F0"/>
    <w:rsid w:val="00F9092F"/>
    <w:rsid w:val="00F9144F"/>
    <w:rsid w:val="00FA0443"/>
    <w:rsid w:val="00FA0733"/>
    <w:rsid w:val="00FA21A0"/>
    <w:rsid w:val="00FA2BC7"/>
    <w:rsid w:val="00FA2BF6"/>
    <w:rsid w:val="00FA71CE"/>
    <w:rsid w:val="00FA7F93"/>
    <w:rsid w:val="00FB4EBE"/>
    <w:rsid w:val="00FB6C9E"/>
    <w:rsid w:val="00FC06B5"/>
    <w:rsid w:val="00FC2144"/>
    <w:rsid w:val="00FC3817"/>
    <w:rsid w:val="00FD46BA"/>
    <w:rsid w:val="00FD4F41"/>
    <w:rsid w:val="00FD6034"/>
    <w:rsid w:val="00FE1345"/>
    <w:rsid w:val="00FE3A0F"/>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CBE91C"/>
  <w15:docId w15:val="{1F5CE921-262A-4373-BC9A-C4A8E42F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F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BB"/>
    <w:pPr>
      <w:ind w:left="720"/>
      <w:contextualSpacing/>
    </w:pPr>
  </w:style>
  <w:style w:type="paragraph" w:styleId="BalloonText">
    <w:name w:val="Balloon Text"/>
    <w:basedOn w:val="Normal"/>
    <w:link w:val="BalloonTextChar"/>
    <w:uiPriority w:val="99"/>
    <w:semiHidden/>
    <w:unhideWhenUsed/>
    <w:rsid w:val="002A35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CA"/>
    <w:rPr>
      <w:rFonts w:ascii="Tahoma" w:hAnsi="Tahoma" w:cs="Tahoma"/>
      <w:sz w:val="16"/>
      <w:szCs w:val="16"/>
    </w:rPr>
  </w:style>
  <w:style w:type="paragraph" w:styleId="Header">
    <w:name w:val="header"/>
    <w:basedOn w:val="Normal"/>
    <w:link w:val="HeaderChar"/>
    <w:uiPriority w:val="99"/>
    <w:unhideWhenUsed/>
    <w:rsid w:val="005D7E11"/>
    <w:pPr>
      <w:tabs>
        <w:tab w:val="center" w:pos="4680"/>
        <w:tab w:val="right" w:pos="9360"/>
      </w:tabs>
      <w:spacing w:after="0"/>
    </w:pPr>
  </w:style>
  <w:style w:type="character" w:customStyle="1" w:styleId="HeaderChar">
    <w:name w:val="Header Char"/>
    <w:basedOn w:val="DefaultParagraphFont"/>
    <w:link w:val="Header"/>
    <w:uiPriority w:val="99"/>
    <w:rsid w:val="005D7E11"/>
  </w:style>
  <w:style w:type="paragraph" w:styleId="Footer">
    <w:name w:val="footer"/>
    <w:basedOn w:val="Normal"/>
    <w:link w:val="FooterChar"/>
    <w:uiPriority w:val="99"/>
    <w:unhideWhenUsed/>
    <w:rsid w:val="005D7E11"/>
    <w:pPr>
      <w:tabs>
        <w:tab w:val="center" w:pos="4680"/>
        <w:tab w:val="right" w:pos="9360"/>
      </w:tabs>
      <w:spacing w:after="0"/>
    </w:pPr>
  </w:style>
  <w:style w:type="character" w:customStyle="1" w:styleId="FooterChar">
    <w:name w:val="Footer Char"/>
    <w:basedOn w:val="DefaultParagraphFont"/>
    <w:link w:val="Footer"/>
    <w:uiPriority w:val="99"/>
    <w:rsid w:val="005D7E11"/>
  </w:style>
  <w:style w:type="table" w:styleId="TableGrid">
    <w:name w:val="Table Grid"/>
    <w:basedOn w:val="TableNormal"/>
    <w:uiPriority w:val="59"/>
    <w:rsid w:val="00DA380D"/>
    <w:pPr>
      <w:widowControl w:val="0"/>
      <w:autoSpaceDE w:val="0"/>
      <w:autoSpaceDN w:val="0"/>
      <w:adjustRightInd w:val="0"/>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style>
  <w:style w:type="paragraph" w:customStyle="1" w:styleId="DHWHanging1">
    <w:name w:val="DHW_Hanging_1"/>
    <w:basedOn w:val="Normal"/>
    <w:qFormat/>
    <w:rsid w:val="00482E37"/>
    <w:pPr>
      <w:tabs>
        <w:tab w:val="left" w:pos="6095"/>
      </w:tabs>
      <w:ind w:left="3260" w:hanging="3260"/>
    </w:pPr>
  </w:style>
  <w:style w:type="paragraph" w:customStyle="1" w:styleId="DHWIndent1">
    <w:name w:val="DHW_Indent_1"/>
    <w:basedOn w:val="DHWHanging1"/>
    <w:qFormat/>
    <w:rsid w:val="00482E37"/>
    <w:pPr>
      <w:ind w:firstLine="0"/>
    </w:pPr>
  </w:style>
  <w:style w:type="paragraph" w:customStyle="1" w:styleId="DHWIndent2">
    <w:name w:val="DHW_Indent_2"/>
    <w:basedOn w:val="DHWIndent1"/>
    <w:qFormat/>
    <w:rsid w:val="00482E37"/>
    <w:pPr>
      <w:tabs>
        <w:tab w:val="clear" w:pos="6095"/>
      </w:tabs>
      <w:ind w:left="6095" w:hanging="2835"/>
    </w:pPr>
  </w:style>
  <w:style w:type="paragraph" w:customStyle="1" w:styleId="DHWHeading1">
    <w:name w:val="DHW_Heading_1"/>
    <w:basedOn w:val="Normal"/>
    <w:next w:val="DHWParagraph"/>
    <w:qFormat/>
    <w:rsid w:val="001B3931"/>
    <w:pPr>
      <w:tabs>
        <w:tab w:val="right" w:pos="10198"/>
      </w:tabs>
      <w:spacing w:after="160"/>
      <w:jc w:val="center"/>
    </w:pPr>
    <w:rPr>
      <w:b/>
      <w:sz w:val="36"/>
      <w:szCs w:val="36"/>
    </w:rPr>
  </w:style>
  <w:style w:type="paragraph" w:customStyle="1" w:styleId="DHWHeading2">
    <w:name w:val="DHW_Heading_2"/>
    <w:basedOn w:val="Normal"/>
    <w:next w:val="DHWParagraph"/>
    <w:qFormat/>
    <w:rsid w:val="001B3931"/>
    <w:pPr>
      <w:tabs>
        <w:tab w:val="right" w:pos="10198"/>
      </w:tabs>
    </w:pPr>
    <w:rPr>
      <w:b/>
      <w:sz w:val="32"/>
      <w:szCs w:val="32"/>
    </w:rPr>
  </w:style>
  <w:style w:type="paragraph" w:customStyle="1" w:styleId="DHWHeading3">
    <w:name w:val="DHW_Heading_3"/>
    <w:basedOn w:val="Normal"/>
    <w:next w:val="Normal"/>
    <w:qFormat/>
    <w:rsid w:val="001B3931"/>
    <w:pPr>
      <w:tabs>
        <w:tab w:val="right" w:pos="10198"/>
      </w:tabs>
    </w:pPr>
    <w:rPr>
      <w:b/>
    </w:rPr>
  </w:style>
  <w:style w:type="paragraph" w:customStyle="1" w:styleId="DHWHanging2">
    <w:name w:val="DHW_Hanging_2"/>
    <w:basedOn w:val="DHWHanging1"/>
    <w:next w:val="DHWIndent2"/>
    <w:qFormat/>
    <w:rsid w:val="001C5C96"/>
    <w:pPr>
      <w:tabs>
        <w:tab w:val="left" w:pos="3260"/>
      </w:tabs>
      <w:ind w:left="6095" w:hanging="6095"/>
    </w:pPr>
  </w:style>
  <w:style w:type="paragraph" w:customStyle="1" w:styleId="DHWParagraph">
    <w:name w:val="DHW_Paragraph_"/>
    <w:basedOn w:val="Normal"/>
    <w:qFormat/>
    <w:rsid w:val="005B597D"/>
    <w:pPr>
      <w:tabs>
        <w:tab w:val="right" w:pos="10198"/>
      </w:tabs>
    </w:pPr>
  </w:style>
  <w:style w:type="paragraph" w:customStyle="1" w:styleId="DHWtableofcontents">
    <w:name w:val="DHW_table_of_contents_"/>
    <w:basedOn w:val="DHWHanging1"/>
    <w:qFormat/>
    <w:rsid w:val="009F1F02"/>
    <w:pPr>
      <w:spacing w:after="60"/>
      <w:ind w:left="1701" w:hanging="1701"/>
    </w:pPr>
  </w:style>
  <w:style w:type="paragraph" w:customStyle="1" w:styleId="DHWtableofcontents12ptafter">
    <w:name w:val="DHW_table_of_contents_12pt_after_"/>
    <w:basedOn w:val="DHWtableofcontents"/>
    <w:qFormat/>
    <w:rsid w:val="009F1F02"/>
    <w:pPr>
      <w:spacing w:after="240"/>
    </w:pPr>
  </w:style>
  <w:style w:type="character" w:styleId="Hyperlink">
    <w:name w:val="Hyperlink"/>
    <w:basedOn w:val="DefaultParagraphFont"/>
    <w:uiPriority w:val="99"/>
    <w:unhideWhenUsed/>
    <w:rsid w:val="00DF2936"/>
    <w:rPr>
      <w:color w:val="0000FF" w:themeColor="hyperlink"/>
      <w:u w:val="single"/>
    </w:rPr>
  </w:style>
  <w:style w:type="character" w:styleId="FollowedHyperlink">
    <w:name w:val="FollowedHyperlink"/>
    <w:basedOn w:val="DefaultParagraphFont"/>
    <w:uiPriority w:val="99"/>
    <w:semiHidden/>
    <w:unhideWhenUsed/>
    <w:rsid w:val="00DF2936"/>
    <w:rPr>
      <w:color w:val="800080" w:themeColor="followedHyperlink"/>
      <w:u w:val="single"/>
    </w:rPr>
  </w:style>
  <w:style w:type="paragraph" w:customStyle="1" w:styleId="DHWParagraphnon-justifiedforreferences">
    <w:name w:val="DHW_Paragraph_non-justified_for_references"/>
    <w:basedOn w:val="DHWParagraph"/>
    <w:qFormat/>
    <w:rsid w:val="00C8254A"/>
    <w:pPr>
      <w:jc w:val="left"/>
    </w:pPr>
  </w:style>
  <w:style w:type="paragraph" w:customStyle="1" w:styleId="DHWPhotocaption">
    <w:name w:val="DHW_Photo_caption"/>
    <w:basedOn w:val="DHWParagraph"/>
    <w:qFormat/>
    <w:rsid w:val="001B536E"/>
    <w:rPr>
      <w:sz w:val="20"/>
    </w:rPr>
  </w:style>
  <w:style w:type="paragraph" w:styleId="FootnoteText">
    <w:name w:val="footnote text"/>
    <w:basedOn w:val="Normal"/>
    <w:link w:val="FootnoteTextChar"/>
    <w:uiPriority w:val="99"/>
    <w:semiHidden/>
    <w:unhideWhenUsed/>
    <w:rsid w:val="007D4A4A"/>
    <w:pPr>
      <w:spacing w:after="0"/>
    </w:pPr>
    <w:rPr>
      <w:sz w:val="20"/>
      <w:szCs w:val="20"/>
    </w:rPr>
  </w:style>
  <w:style w:type="character" w:customStyle="1" w:styleId="FootnoteTextChar">
    <w:name w:val="Footnote Text Char"/>
    <w:basedOn w:val="DefaultParagraphFont"/>
    <w:link w:val="FootnoteText"/>
    <w:uiPriority w:val="99"/>
    <w:semiHidden/>
    <w:rsid w:val="007D4A4A"/>
    <w:rPr>
      <w:sz w:val="20"/>
      <w:szCs w:val="20"/>
    </w:rPr>
  </w:style>
  <w:style w:type="character" w:styleId="FootnoteReference">
    <w:name w:val="footnote reference"/>
    <w:basedOn w:val="DefaultParagraphFont"/>
    <w:uiPriority w:val="99"/>
    <w:unhideWhenUsed/>
    <w:rsid w:val="00BC22E3"/>
    <w:rPr>
      <w:sz w:val="24"/>
      <w:vertAlign w:val="superscript"/>
    </w:rPr>
  </w:style>
  <w:style w:type="paragraph" w:customStyle="1" w:styleId="DHWCondensedHanging1">
    <w:name w:val="DHW_Condensed_Hanging_1"/>
    <w:basedOn w:val="DHWHanging1"/>
    <w:qFormat/>
    <w:rsid w:val="00610F29"/>
    <w:pPr>
      <w:spacing w:after="160"/>
      <w:ind w:left="2693" w:hanging="2693"/>
    </w:pPr>
    <w:rPr>
      <w:sz w:val="20"/>
    </w:rPr>
  </w:style>
  <w:style w:type="paragraph" w:customStyle="1" w:styleId="DHWCondensedIndent1">
    <w:name w:val="DHW_Condensed_Indent_1"/>
    <w:basedOn w:val="DHWIndent1"/>
    <w:qFormat/>
    <w:rsid w:val="00610F29"/>
    <w:pPr>
      <w:spacing w:after="160"/>
      <w:ind w:left="2693"/>
    </w:pPr>
    <w:rPr>
      <w:sz w:val="20"/>
    </w:rPr>
  </w:style>
  <w:style w:type="paragraph" w:customStyle="1" w:styleId="DHWCondensedParagraph">
    <w:name w:val="DHW_Condensed_Paragraph"/>
    <w:basedOn w:val="DHWParagraph"/>
    <w:qFormat/>
    <w:rsid w:val="00610F29"/>
    <w:pPr>
      <w:spacing w:after="160"/>
    </w:pPr>
    <w:rPr>
      <w:sz w:val="20"/>
    </w:rPr>
  </w:style>
  <w:style w:type="character" w:styleId="CommentReference">
    <w:name w:val="annotation reference"/>
    <w:basedOn w:val="DefaultParagraphFont"/>
    <w:uiPriority w:val="99"/>
    <w:semiHidden/>
    <w:unhideWhenUsed/>
    <w:rsid w:val="00900CE8"/>
    <w:rPr>
      <w:sz w:val="16"/>
      <w:szCs w:val="16"/>
    </w:rPr>
  </w:style>
  <w:style w:type="paragraph" w:styleId="CommentText">
    <w:name w:val="annotation text"/>
    <w:basedOn w:val="Normal"/>
    <w:link w:val="CommentTextChar"/>
    <w:uiPriority w:val="99"/>
    <w:semiHidden/>
    <w:unhideWhenUsed/>
    <w:rsid w:val="00900CE8"/>
    <w:rPr>
      <w:sz w:val="20"/>
      <w:szCs w:val="20"/>
    </w:rPr>
  </w:style>
  <w:style w:type="character" w:customStyle="1" w:styleId="CommentTextChar">
    <w:name w:val="Comment Text Char"/>
    <w:basedOn w:val="DefaultParagraphFont"/>
    <w:link w:val="CommentText"/>
    <w:uiPriority w:val="99"/>
    <w:semiHidden/>
    <w:rsid w:val="00900CE8"/>
    <w:rPr>
      <w:sz w:val="20"/>
      <w:szCs w:val="20"/>
    </w:rPr>
  </w:style>
  <w:style w:type="paragraph" w:styleId="CommentSubject">
    <w:name w:val="annotation subject"/>
    <w:basedOn w:val="CommentText"/>
    <w:next w:val="CommentText"/>
    <w:link w:val="CommentSubjectChar"/>
    <w:uiPriority w:val="99"/>
    <w:semiHidden/>
    <w:unhideWhenUsed/>
    <w:rsid w:val="00900CE8"/>
    <w:rPr>
      <w:b/>
      <w:bCs/>
    </w:rPr>
  </w:style>
  <w:style w:type="character" w:customStyle="1" w:styleId="CommentSubjectChar">
    <w:name w:val="Comment Subject Char"/>
    <w:basedOn w:val="CommentTextChar"/>
    <w:link w:val="CommentSubject"/>
    <w:uiPriority w:val="99"/>
    <w:semiHidden/>
    <w:rsid w:val="00900CE8"/>
    <w:rPr>
      <w:b/>
      <w:bCs/>
      <w:sz w:val="20"/>
      <w:szCs w:val="20"/>
    </w:rPr>
  </w:style>
  <w:style w:type="character" w:styleId="Emphasis">
    <w:name w:val="Emphasis"/>
    <w:basedOn w:val="DefaultParagraphFont"/>
    <w:uiPriority w:val="20"/>
    <w:qFormat/>
    <w:rsid w:val="00D3311D"/>
    <w:rPr>
      <w:i/>
      <w:iCs/>
    </w:rPr>
  </w:style>
  <w:style w:type="paragraph" w:customStyle="1" w:styleId="DHWIndent11">
    <w:name w:val="DHW_Indent_1.1"/>
    <w:basedOn w:val="DHWIndent1"/>
    <w:qFormat/>
    <w:rsid w:val="006E523D"/>
    <w:pPr>
      <w:ind w:left="3686"/>
    </w:pPr>
  </w:style>
  <w:style w:type="paragraph" w:customStyle="1" w:styleId="Style1">
    <w:name w:val="Style1"/>
    <w:basedOn w:val="Normal"/>
    <w:qFormat/>
    <w:rsid w:val="006E523D"/>
    <w:pPr>
      <w:tabs>
        <w:tab w:val="left" w:pos="6095"/>
      </w:tabs>
      <w:spacing w:after="80"/>
      <w:ind w:left="36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5984">
      <w:bodyDiv w:val="1"/>
      <w:marLeft w:val="0"/>
      <w:marRight w:val="0"/>
      <w:marTop w:val="0"/>
      <w:marBottom w:val="0"/>
      <w:divBdr>
        <w:top w:val="none" w:sz="0" w:space="0" w:color="auto"/>
        <w:left w:val="none" w:sz="0" w:space="0" w:color="auto"/>
        <w:bottom w:val="none" w:sz="0" w:space="0" w:color="auto"/>
        <w:right w:val="none" w:sz="0" w:space="0" w:color="auto"/>
      </w:divBdr>
      <w:divsChild>
        <w:div w:id="1370183866">
          <w:marLeft w:val="0"/>
          <w:marRight w:val="0"/>
          <w:marTop w:val="0"/>
          <w:marBottom w:val="0"/>
          <w:divBdr>
            <w:top w:val="none" w:sz="0" w:space="0" w:color="auto"/>
            <w:left w:val="none" w:sz="0" w:space="0" w:color="auto"/>
            <w:bottom w:val="none" w:sz="0" w:space="0" w:color="auto"/>
            <w:right w:val="none" w:sz="0" w:space="0" w:color="auto"/>
          </w:divBdr>
        </w:div>
      </w:divsChild>
    </w:div>
    <w:div w:id="263610617">
      <w:bodyDiv w:val="1"/>
      <w:marLeft w:val="0"/>
      <w:marRight w:val="0"/>
      <w:marTop w:val="0"/>
      <w:marBottom w:val="0"/>
      <w:divBdr>
        <w:top w:val="none" w:sz="0" w:space="0" w:color="auto"/>
        <w:left w:val="none" w:sz="0" w:space="0" w:color="auto"/>
        <w:bottom w:val="none" w:sz="0" w:space="0" w:color="auto"/>
        <w:right w:val="none" w:sz="0" w:space="0" w:color="auto"/>
      </w:divBdr>
    </w:div>
    <w:div w:id="353313733">
      <w:bodyDiv w:val="1"/>
      <w:marLeft w:val="0"/>
      <w:marRight w:val="0"/>
      <w:marTop w:val="0"/>
      <w:marBottom w:val="0"/>
      <w:divBdr>
        <w:top w:val="none" w:sz="0" w:space="0" w:color="auto"/>
        <w:left w:val="none" w:sz="0" w:space="0" w:color="auto"/>
        <w:bottom w:val="none" w:sz="0" w:space="0" w:color="auto"/>
        <w:right w:val="none" w:sz="0" w:space="0" w:color="auto"/>
      </w:divBdr>
    </w:div>
    <w:div w:id="398284241">
      <w:bodyDiv w:val="1"/>
      <w:marLeft w:val="0"/>
      <w:marRight w:val="0"/>
      <w:marTop w:val="0"/>
      <w:marBottom w:val="0"/>
      <w:divBdr>
        <w:top w:val="none" w:sz="0" w:space="0" w:color="auto"/>
        <w:left w:val="none" w:sz="0" w:space="0" w:color="auto"/>
        <w:bottom w:val="none" w:sz="0" w:space="0" w:color="auto"/>
        <w:right w:val="none" w:sz="0" w:space="0" w:color="auto"/>
      </w:divBdr>
    </w:div>
    <w:div w:id="911432443">
      <w:bodyDiv w:val="1"/>
      <w:marLeft w:val="0"/>
      <w:marRight w:val="0"/>
      <w:marTop w:val="0"/>
      <w:marBottom w:val="0"/>
      <w:divBdr>
        <w:top w:val="none" w:sz="0" w:space="0" w:color="auto"/>
        <w:left w:val="none" w:sz="0" w:space="0" w:color="auto"/>
        <w:bottom w:val="none" w:sz="0" w:space="0" w:color="auto"/>
        <w:right w:val="none" w:sz="0" w:space="0" w:color="auto"/>
      </w:divBdr>
    </w:div>
    <w:div w:id="1000085547">
      <w:bodyDiv w:val="1"/>
      <w:marLeft w:val="0"/>
      <w:marRight w:val="0"/>
      <w:marTop w:val="0"/>
      <w:marBottom w:val="0"/>
      <w:divBdr>
        <w:top w:val="none" w:sz="0" w:space="0" w:color="auto"/>
        <w:left w:val="none" w:sz="0" w:space="0" w:color="auto"/>
        <w:bottom w:val="none" w:sz="0" w:space="0" w:color="auto"/>
        <w:right w:val="none" w:sz="0" w:space="0" w:color="auto"/>
      </w:divBdr>
    </w:div>
    <w:div w:id="1022904434">
      <w:bodyDiv w:val="1"/>
      <w:marLeft w:val="0"/>
      <w:marRight w:val="0"/>
      <w:marTop w:val="0"/>
      <w:marBottom w:val="0"/>
      <w:divBdr>
        <w:top w:val="none" w:sz="0" w:space="0" w:color="auto"/>
        <w:left w:val="none" w:sz="0" w:space="0" w:color="auto"/>
        <w:bottom w:val="none" w:sz="0" w:space="0" w:color="auto"/>
        <w:right w:val="none" w:sz="0" w:space="0" w:color="auto"/>
      </w:divBdr>
    </w:div>
    <w:div w:id="1081753356">
      <w:bodyDiv w:val="1"/>
      <w:marLeft w:val="0"/>
      <w:marRight w:val="0"/>
      <w:marTop w:val="0"/>
      <w:marBottom w:val="0"/>
      <w:divBdr>
        <w:top w:val="none" w:sz="0" w:space="0" w:color="auto"/>
        <w:left w:val="none" w:sz="0" w:space="0" w:color="auto"/>
        <w:bottom w:val="none" w:sz="0" w:space="0" w:color="auto"/>
        <w:right w:val="none" w:sz="0" w:space="0" w:color="auto"/>
      </w:divBdr>
    </w:div>
    <w:div w:id="1187062331">
      <w:bodyDiv w:val="1"/>
      <w:marLeft w:val="0"/>
      <w:marRight w:val="0"/>
      <w:marTop w:val="0"/>
      <w:marBottom w:val="0"/>
      <w:divBdr>
        <w:top w:val="none" w:sz="0" w:space="0" w:color="auto"/>
        <w:left w:val="none" w:sz="0" w:space="0" w:color="auto"/>
        <w:bottom w:val="none" w:sz="0" w:space="0" w:color="auto"/>
        <w:right w:val="none" w:sz="0" w:space="0" w:color="auto"/>
      </w:divBdr>
    </w:div>
    <w:div w:id="1231190635">
      <w:bodyDiv w:val="1"/>
      <w:marLeft w:val="0"/>
      <w:marRight w:val="0"/>
      <w:marTop w:val="0"/>
      <w:marBottom w:val="0"/>
      <w:divBdr>
        <w:top w:val="none" w:sz="0" w:space="0" w:color="auto"/>
        <w:left w:val="none" w:sz="0" w:space="0" w:color="auto"/>
        <w:bottom w:val="none" w:sz="0" w:space="0" w:color="auto"/>
        <w:right w:val="none" w:sz="0" w:space="0" w:color="auto"/>
      </w:divBdr>
    </w:div>
    <w:div w:id="1234661085">
      <w:bodyDiv w:val="1"/>
      <w:marLeft w:val="0"/>
      <w:marRight w:val="0"/>
      <w:marTop w:val="0"/>
      <w:marBottom w:val="0"/>
      <w:divBdr>
        <w:top w:val="none" w:sz="0" w:space="0" w:color="auto"/>
        <w:left w:val="none" w:sz="0" w:space="0" w:color="auto"/>
        <w:bottom w:val="none" w:sz="0" w:space="0" w:color="auto"/>
        <w:right w:val="none" w:sz="0" w:space="0" w:color="auto"/>
      </w:divBdr>
    </w:div>
    <w:div w:id="1323509383">
      <w:bodyDiv w:val="1"/>
      <w:marLeft w:val="0"/>
      <w:marRight w:val="0"/>
      <w:marTop w:val="0"/>
      <w:marBottom w:val="0"/>
      <w:divBdr>
        <w:top w:val="none" w:sz="0" w:space="0" w:color="auto"/>
        <w:left w:val="none" w:sz="0" w:space="0" w:color="auto"/>
        <w:bottom w:val="none" w:sz="0" w:space="0" w:color="auto"/>
        <w:right w:val="none" w:sz="0" w:space="0" w:color="auto"/>
      </w:divBdr>
    </w:div>
    <w:div w:id="1370179269">
      <w:bodyDiv w:val="1"/>
      <w:marLeft w:val="0"/>
      <w:marRight w:val="0"/>
      <w:marTop w:val="0"/>
      <w:marBottom w:val="0"/>
      <w:divBdr>
        <w:top w:val="none" w:sz="0" w:space="0" w:color="auto"/>
        <w:left w:val="none" w:sz="0" w:space="0" w:color="auto"/>
        <w:bottom w:val="none" w:sz="0" w:space="0" w:color="auto"/>
        <w:right w:val="none" w:sz="0" w:space="0" w:color="auto"/>
      </w:divBdr>
    </w:div>
    <w:div w:id="1615861564">
      <w:bodyDiv w:val="1"/>
      <w:marLeft w:val="0"/>
      <w:marRight w:val="0"/>
      <w:marTop w:val="0"/>
      <w:marBottom w:val="0"/>
      <w:divBdr>
        <w:top w:val="none" w:sz="0" w:space="0" w:color="auto"/>
        <w:left w:val="none" w:sz="0" w:space="0" w:color="auto"/>
        <w:bottom w:val="none" w:sz="0" w:space="0" w:color="auto"/>
        <w:right w:val="none" w:sz="0" w:space="0" w:color="auto"/>
      </w:divBdr>
    </w:div>
    <w:div w:id="1623851045">
      <w:bodyDiv w:val="1"/>
      <w:marLeft w:val="0"/>
      <w:marRight w:val="0"/>
      <w:marTop w:val="0"/>
      <w:marBottom w:val="0"/>
      <w:divBdr>
        <w:top w:val="none" w:sz="0" w:space="0" w:color="auto"/>
        <w:left w:val="none" w:sz="0" w:space="0" w:color="auto"/>
        <w:bottom w:val="none" w:sz="0" w:space="0" w:color="auto"/>
        <w:right w:val="none" w:sz="0" w:space="0" w:color="auto"/>
      </w:divBdr>
    </w:div>
    <w:div w:id="1851214497">
      <w:bodyDiv w:val="1"/>
      <w:marLeft w:val="0"/>
      <w:marRight w:val="0"/>
      <w:marTop w:val="0"/>
      <w:marBottom w:val="0"/>
      <w:divBdr>
        <w:top w:val="none" w:sz="0" w:space="0" w:color="auto"/>
        <w:left w:val="none" w:sz="0" w:space="0" w:color="auto"/>
        <w:bottom w:val="none" w:sz="0" w:space="0" w:color="auto"/>
        <w:right w:val="none" w:sz="0" w:space="0" w:color="auto"/>
      </w:divBdr>
    </w:div>
    <w:div w:id="1961690910">
      <w:bodyDiv w:val="1"/>
      <w:marLeft w:val="0"/>
      <w:marRight w:val="0"/>
      <w:marTop w:val="0"/>
      <w:marBottom w:val="0"/>
      <w:divBdr>
        <w:top w:val="none" w:sz="0" w:space="0" w:color="auto"/>
        <w:left w:val="none" w:sz="0" w:space="0" w:color="auto"/>
        <w:bottom w:val="none" w:sz="0" w:space="0" w:color="auto"/>
        <w:right w:val="none" w:sz="0" w:space="0" w:color="auto"/>
      </w:divBdr>
    </w:div>
    <w:div w:id="20069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cc/usc-sop-instructions" TargetMode="External"/><Relationship Id="rId13" Type="http://schemas.openxmlformats.org/officeDocument/2006/relationships/hyperlink" Target="http://tiny.cc/chem-hygiene-plan" TargetMode="External"/><Relationship Id="rId18" Type="http://schemas.openxmlformats.org/officeDocument/2006/relationships/hyperlink" Target="http://tiny.cc/chem-hygiene-plan" TargetMode="External"/><Relationship Id="rId26" Type="http://schemas.openxmlformats.org/officeDocument/2006/relationships/hyperlink" Target="https://ehs.usc.edu/hazmat/spill-cleanup/"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iny.cc/usc-ehs-fact-sheet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ehha.ca.gov/proposition-65/proposition-65-list" TargetMode="External"/><Relationship Id="rId17" Type="http://schemas.openxmlformats.org/officeDocument/2006/relationships/hyperlink" Target="https://tiny.cc/usc-ppe-standard" TargetMode="External"/><Relationship Id="rId25" Type="http://schemas.openxmlformats.org/officeDocument/2006/relationships/hyperlink" Target="mailto:hazmat@usc.edu" TargetMode="External"/><Relationship Id="rId33" Type="http://schemas.openxmlformats.org/officeDocument/2006/relationships/header" Target="header1.xml"/><Relationship Id="rId38" Type="http://schemas.openxmlformats.org/officeDocument/2006/relationships/hyperlink" Target="https://tiny.cc/usc-injury" TargetMode="External"/><Relationship Id="rId2" Type="http://schemas.openxmlformats.org/officeDocument/2006/relationships/numbering" Target="numbering.xml"/><Relationship Id="rId16" Type="http://schemas.openxmlformats.org/officeDocument/2006/relationships/hyperlink" Target="https://tiny.cc/usc-unattended-operations" TargetMode="External"/><Relationship Id="rId20" Type="http://schemas.openxmlformats.org/officeDocument/2006/relationships/hyperlink" Target="https://tiny.cc/usc-ehs-RPP-fs" TargetMode="External"/><Relationship Id="rId29" Type="http://schemas.openxmlformats.org/officeDocument/2006/relationships/hyperlink" Target="https://ehs.usc.edu/occhealth/non-life-threatening-workplace-injury-or-illn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title8/5155table_ac1.html" TargetMode="External"/><Relationship Id="rId24" Type="http://schemas.openxmlformats.org/officeDocument/2006/relationships/hyperlink" Target="http://tiny.cc/chem-hygiene-plan" TargetMode="External"/><Relationship Id="rId32" Type="http://schemas.openxmlformats.org/officeDocument/2006/relationships/hyperlink" Target="http://tiny.cc/chem-hygiene-plan" TargetMode="External"/><Relationship Id="rId37" Type="http://schemas.openxmlformats.org/officeDocument/2006/relationships/hyperlink" Target="http://tiny.cc/chem-hygiene-pla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ny.cc/chem-hygiene-plan" TargetMode="External"/><Relationship Id="rId23" Type="http://schemas.openxmlformats.org/officeDocument/2006/relationships/hyperlink" Target="https://tiny.cc/usc-ehs-fact-sheets" TargetMode="External"/><Relationship Id="rId28" Type="http://schemas.openxmlformats.org/officeDocument/2006/relationships/hyperlink" Target="https://tiny.cc/usc-ehs-chmSplkit-gs" TargetMode="External"/><Relationship Id="rId36" Type="http://schemas.openxmlformats.org/officeDocument/2006/relationships/hyperlink" Target="https://ehs.usc.edu/occhealth/non-life-threatening-workplace-injury-or-illness/" TargetMode="External"/><Relationship Id="rId10" Type="http://schemas.openxmlformats.org/officeDocument/2006/relationships/hyperlink" Target="https://tiny.cc/usc-sop-training" TargetMode="External"/><Relationship Id="rId19" Type="http://schemas.openxmlformats.org/officeDocument/2006/relationships/hyperlink" Target="https://tiny.cc/usc-ehs-fact-sheets" TargetMode="External"/><Relationship Id="rId31" Type="http://schemas.openxmlformats.org/officeDocument/2006/relationships/hyperlink" Target="https://tiny.cc/usc-123" TargetMode="External"/><Relationship Id="rId4" Type="http://schemas.openxmlformats.org/officeDocument/2006/relationships/settings" Target="settings.xml"/><Relationship Id="rId9" Type="http://schemas.openxmlformats.org/officeDocument/2006/relationships/hyperlink" Target="https://tiny.cc/usc-sop-acknowledgement" TargetMode="External"/><Relationship Id="rId14" Type="http://schemas.openxmlformats.org/officeDocument/2006/relationships/hyperlink" Target="https://www.dir.ca.gov/title8/5191.html" TargetMode="External"/><Relationship Id="rId22" Type="http://schemas.openxmlformats.org/officeDocument/2006/relationships/hyperlink" Target="https://ehs.usc.edu/hazmat/" TargetMode="External"/><Relationship Id="rId27" Type="http://schemas.openxmlformats.org/officeDocument/2006/relationships/hyperlink" Target="http://tiny.cc/chem-hygiene-plan" TargetMode="External"/><Relationship Id="rId30" Type="http://schemas.openxmlformats.org/officeDocument/2006/relationships/hyperlink" Target="https://tiny.cc/usc-injury" TargetMode="External"/><Relationship Id="rId35" Type="http://schemas.openxmlformats.org/officeDocument/2006/relationships/hyperlink" Target="https://tiny.cc/usc-1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Chem%20and%20General%20Lab%20Safety%20Group\SOPs\External%20SOPs\New%20Format%20SOPs\DHW%20reviewed\FINISHED%20TEMPLATES\SOP_skeleton_v02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3750-12A5-4A26-BBF5-BDDCFADF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SOP_skeleton_v02_</Template>
  <TotalTime>3</TotalTime>
  <Pages>10</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DHW</dc:creator>
  <cp:lastModifiedBy>Nassim Haddad</cp:lastModifiedBy>
  <cp:revision>4</cp:revision>
  <cp:lastPrinted>2018-08-17T21:38:00Z</cp:lastPrinted>
  <dcterms:created xsi:type="dcterms:W3CDTF">2019-10-29T00:34:00Z</dcterms:created>
  <dcterms:modified xsi:type="dcterms:W3CDTF">2019-10-31T19:53:00Z</dcterms:modified>
</cp:coreProperties>
</file>