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77777777" w:rsidR="009C2869" w:rsidRPr="009C2869" w:rsidRDefault="009C2869" w:rsidP="004908FD">
            <w:r w:rsidRPr="009C2869">
              <w:t xml:space="preserve">It is intended that personnel add lab-specific information to the SOP template to produce a finished and functional SOP. </w:t>
            </w:r>
            <w:r w:rsidRPr="009C2869">
              <w:rPr>
                <w:highlight w:val="yellow"/>
              </w:rPr>
              <w:t>Suggested places to add customization are highlighted in yellow throughout the document.</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13EBB444" w14:textId="77777777" w:rsidR="00F05630" w:rsidRDefault="00F05630" w:rsidP="0043040E">
      <w:pPr>
        <w:pStyle w:val="DHW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938"/>
      </w:tblGrid>
      <w:tr w:rsidR="00D479DF" w:rsidRPr="002E2B56" w14:paraId="7CB36DA6" w14:textId="77777777" w:rsidTr="00D479DF">
        <w:trPr>
          <w:trHeight w:val="401"/>
          <w:tblHeader/>
        </w:trPr>
        <w:tc>
          <w:tcPr>
            <w:tcW w:w="11016" w:type="dxa"/>
            <w:gridSpan w:val="2"/>
            <w:vAlign w:val="center"/>
          </w:tcPr>
          <w:p w14:paraId="1212F7A7" w14:textId="6BB4E966" w:rsidR="00D479DF" w:rsidRPr="00624E62" w:rsidRDefault="00D479DF" w:rsidP="00D479DF">
            <w:pPr>
              <w:pStyle w:val="DHWHeading1"/>
              <w:tabs>
                <w:tab w:val="clear" w:pos="10198"/>
              </w:tabs>
              <w:spacing w:after="0"/>
              <w:rPr>
                <w:caps/>
              </w:rPr>
            </w:pPr>
            <w:r w:rsidRPr="00624E62">
              <w:rPr>
                <w:rFonts w:cstheme="minorHAnsi"/>
                <w:bCs/>
                <w:sz w:val="24"/>
                <w:szCs w:val="24"/>
              </w:rPr>
              <w:lastRenderedPageBreak/>
              <w:t>NOTE: This SOP does NOT cover Hydrofluoric Acid (HF) or Phenol</w:t>
            </w:r>
          </w:p>
        </w:tc>
      </w:tr>
      <w:tr w:rsidR="00D479DF" w:rsidRPr="002E2B56" w14:paraId="6F14DBE1" w14:textId="77777777" w:rsidTr="00BC6130">
        <w:trPr>
          <w:trHeight w:val="671"/>
        </w:trPr>
        <w:tc>
          <w:tcPr>
            <w:tcW w:w="11016" w:type="dxa"/>
            <w:gridSpan w:val="2"/>
            <w:vAlign w:val="center"/>
          </w:tcPr>
          <w:p w14:paraId="6EC0A207" w14:textId="1C4CD3A6" w:rsidR="00D479DF" w:rsidRPr="002E2B56" w:rsidRDefault="00D479DF" w:rsidP="008A1830">
            <w:pPr>
              <w:pStyle w:val="DHWHeading1"/>
              <w:tabs>
                <w:tab w:val="clear" w:pos="10198"/>
              </w:tabs>
              <w:spacing w:after="0"/>
            </w:pPr>
            <w:r w:rsidRPr="002E2B56">
              <w:t xml:space="preserve">Standard (Safe) Operating Procedure: </w:t>
            </w:r>
            <w:r>
              <w:rPr>
                <w:caps/>
              </w:rPr>
              <w:t>corrosives</w:t>
            </w:r>
          </w:p>
        </w:tc>
      </w:tr>
      <w:tr w:rsidR="002E2B56" w:rsidRPr="002E2B56" w14:paraId="78E8D8C9" w14:textId="77777777" w:rsidTr="00276AB3">
        <w:tc>
          <w:tcPr>
            <w:tcW w:w="3078" w:type="dxa"/>
          </w:tcPr>
          <w:p w14:paraId="0A826B0D" w14:textId="199DE516" w:rsidR="002E2B56" w:rsidRPr="002E2B56" w:rsidRDefault="006C66AE" w:rsidP="00FD64D2">
            <w:pPr>
              <w:pStyle w:val="DHWHanging1"/>
              <w:tabs>
                <w:tab w:val="clear" w:pos="6095"/>
              </w:tabs>
              <w:ind w:left="0" w:firstLine="0"/>
            </w:pPr>
            <w:r>
              <w:rPr>
                <w:b/>
                <w:bCs/>
              </w:rPr>
              <w:t xml:space="preserve">Nature of </w:t>
            </w:r>
            <w:r w:rsidR="002E2B56" w:rsidRPr="002E2B56">
              <w:rPr>
                <w:b/>
                <w:bCs/>
              </w:rPr>
              <w:t>Hazard</w:t>
            </w:r>
          </w:p>
        </w:tc>
        <w:tc>
          <w:tcPr>
            <w:tcW w:w="7938" w:type="dxa"/>
          </w:tcPr>
          <w:p w14:paraId="0ECC400A" w14:textId="77777777" w:rsidR="00A031AC" w:rsidRDefault="00A031AC" w:rsidP="00A031AC">
            <w:pPr>
              <w:pStyle w:val="DHWHanging1"/>
              <w:ind w:left="0" w:firstLine="0"/>
            </w:pPr>
            <w:r>
              <w:t>Corrosive substances produce injury through contact with any internal or external part of the body, including skin, eyes, mucous membranes, mouth, throat, lungs, and digestive tract. Corrosive injury manifests at the site of contact. Some corrosives additionally possess toxic properties which can manifest remote from the point of absorption, and which may cause serious illness or death.</w:t>
            </w:r>
          </w:p>
          <w:p w14:paraId="48517B02" w14:textId="4A5B7252" w:rsidR="00863F2B" w:rsidRPr="002E2B56" w:rsidRDefault="00A031AC" w:rsidP="00A031AC">
            <w:pPr>
              <w:pStyle w:val="DHWIndent1"/>
              <w:ind w:left="0"/>
            </w:pPr>
            <w:r>
              <w:t xml:space="preserve">Corrosive injury may arise from two mechanisms, </w:t>
            </w:r>
            <w:r w:rsidRPr="00DC341A">
              <w:rPr>
                <w:i/>
              </w:rPr>
              <w:t>direct-acting</w:t>
            </w:r>
            <w:r>
              <w:t xml:space="preserve"> and </w:t>
            </w:r>
            <w:r w:rsidRPr="00DC341A">
              <w:rPr>
                <w:i/>
              </w:rPr>
              <w:t>acting via toxicity</w:t>
            </w:r>
            <w:r>
              <w:t>, described below. Depending on the corrosive, one mechanism may be dominant, or both mechanisms may occur together.</w:t>
            </w:r>
          </w:p>
        </w:tc>
      </w:tr>
      <w:tr w:rsidR="00FD26C7" w:rsidRPr="002E2B56" w14:paraId="70309835" w14:textId="77777777" w:rsidTr="00276AB3">
        <w:tc>
          <w:tcPr>
            <w:tcW w:w="3078" w:type="dxa"/>
          </w:tcPr>
          <w:p w14:paraId="25F7C56B" w14:textId="0FBB2905" w:rsidR="00FD26C7" w:rsidRDefault="00FD26C7" w:rsidP="00FD64D2">
            <w:pPr>
              <w:pStyle w:val="DHWHanging1"/>
              <w:tabs>
                <w:tab w:val="clear" w:pos="6095"/>
              </w:tabs>
              <w:ind w:left="0" w:firstLine="0"/>
              <w:rPr>
                <w:b/>
                <w:bCs/>
              </w:rPr>
            </w:pPr>
            <w:r>
              <w:rPr>
                <w:b/>
                <w:bCs/>
              </w:rPr>
              <w:t>Direct-Acting Corrosives</w:t>
            </w:r>
          </w:p>
        </w:tc>
        <w:tc>
          <w:tcPr>
            <w:tcW w:w="7938" w:type="dxa"/>
          </w:tcPr>
          <w:p w14:paraId="1E24EFA5" w14:textId="465A7968" w:rsidR="00BC4FC0" w:rsidRDefault="00B95DE9" w:rsidP="00BC4FC0">
            <w:pPr>
              <w:pStyle w:val="DHWHanging1"/>
              <w:ind w:left="0" w:firstLine="0"/>
            </w:pPr>
            <w:r>
              <w:t xml:space="preserve">These materials </w:t>
            </w:r>
            <w:r w:rsidR="007C2141">
              <w:t>cause</w:t>
            </w:r>
            <w:r w:rsidR="00BC4FC0">
              <w:t xml:space="preserve"> corrosion and destruction of tissue</w:t>
            </w:r>
            <w:r w:rsidR="007C2141">
              <w:t xml:space="preserve"> through direct chemical attack</w:t>
            </w:r>
            <w:r w:rsidR="00BC4FC0">
              <w:t xml:space="preserve">. This is often the principal mechanism of highly chemically reactive corrosives. These substances literally eat away at human tissues. </w:t>
            </w:r>
          </w:p>
          <w:p w14:paraId="0A0A5061" w14:textId="77777777" w:rsidR="00BC4FC0" w:rsidRDefault="00BC4FC0" w:rsidP="00BC4FC0">
            <w:pPr>
              <w:pStyle w:val="DHWIndent1"/>
              <w:ind w:left="0"/>
            </w:pPr>
            <w:r>
              <w:t>Examples:</w:t>
            </w:r>
          </w:p>
          <w:p w14:paraId="48BA5EFF" w14:textId="066A09B1" w:rsidR="00BC4FC0" w:rsidRDefault="00BC4FC0" w:rsidP="00BC4FC0">
            <w:pPr>
              <w:pStyle w:val="DHWIndent1"/>
              <w:numPr>
                <w:ilvl w:val="0"/>
                <w:numId w:val="11"/>
              </w:numPr>
            </w:pPr>
            <w:r>
              <w:t>Medium-strength and strong acids, e.g.</w:t>
            </w:r>
            <w:r w:rsidR="00535257">
              <w:t>,</w:t>
            </w:r>
            <w:r>
              <w:t xml:space="preserve"> sulfuric acid, nitric acid, formic acid, concentrated acetic acid.</w:t>
            </w:r>
          </w:p>
          <w:p w14:paraId="30DB3A99" w14:textId="522C3E97" w:rsidR="00BC4FC0" w:rsidRDefault="00BC4FC0" w:rsidP="00BC4FC0">
            <w:pPr>
              <w:pStyle w:val="DHWIndent1"/>
              <w:numPr>
                <w:ilvl w:val="0"/>
                <w:numId w:val="11"/>
              </w:numPr>
            </w:pPr>
            <w:r>
              <w:t>Strong bases, e.g.</w:t>
            </w:r>
            <w:r w:rsidR="00535257">
              <w:t>,</w:t>
            </w:r>
            <w:r>
              <w:t xml:space="preserve"> sodium hydroxide, aqueous ammonia, amines (Note: Bases can be even more dangerous to eyes than acids.)</w:t>
            </w:r>
          </w:p>
          <w:p w14:paraId="6563D0E1" w14:textId="1C49B187" w:rsidR="00BC4FC0" w:rsidRDefault="00BC4FC0" w:rsidP="00BC4FC0">
            <w:pPr>
              <w:pStyle w:val="DHWIndent1"/>
              <w:numPr>
                <w:ilvl w:val="0"/>
                <w:numId w:val="11"/>
              </w:numPr>
            </w:pPr>
            <w:r>
              <w:t>Powerful oxidants, e.g.</w:t>
            </w:r>
            <w:r w:rsidR="00535257">
              <w:t>,</w:t>
            </w:r>
            <w:r>
              <w:t xml:space="preserve"> bromine, 30% hydrogen peroxide</w:t>
            </w:r>
          </w:p>
          <w:p w14:paraId="2D5D5272" w14:textId="1DCEA982" w:rsidR="00FD26C7" w:rsidRDefault="00BC4FC0" w:rsidP="00BC4FC0">
            <w:pPr>
              <w:pStyle w:val="DHWIndent1"/>
              <w:numPr>
                <w:ilvl w:val="0"/>
                <w:numId w:val="11"/>
              </w:numPr>
            </w:pPr>
            <w:r>
              <w:t>Highly water-reactive substances, particularly if they hydrolyze to strong acids or bases, e.g.</w:t>
            </w:r>
            <w:r w:rsidR="00535257">
              <w:t>,</w:t>
            </w:r>
            <w:r>
              <w:t xml:space="preserve"> aluminum chloride, titanium tetrachloride, phosphorus pentoxide, lithium aluminum hydride, sodium hydride, alkali metals.</w:t>
            </w:r>
          </w:p>
        </w:tc>
      </w:tr>
      <w:tr w:rsidR="00BC4FC0" w:rsidRPr="002E2B56" w14:paraId="45AE7596" w14:textId="77777777" w:rsidTr="00276AB3">
        <w:tc>
          <w:tcPr>
            <w:tcW w:w="3078" w:type="dxa"/>
          </w:tcPr>
          <w:p w14:paraId="23F31CBF" w14:textId="3698E28F" w:rsidR="00BC4FC0" w:rsidRDefault="00BC4FC0" w:rsidP="00602871">
            <w:pPr>
              <w:pStyle w:val="DHWHanging1"/>
              <w:tabs>
                <w:tab w:val="clear" w:pos="6095"/>
              </w:tabs>
              <w:spacing w:after="0"/>
              <w:ind w:left="0" w:firstLine="0"/>
              <w:rPr>
                <w:b/>
                <w:bCs/>
              </w:rPr>
            </w:pPr>
            <w:proofErr w:type="gramStart"/>
            <w:r>
              <w:rPr>
                <w:b/>
                <w:bCs/>
              </w:rPr>
              <w:t>Direct-Acting</w:t>
            </w:r>
            <w:proofErr w:type="gramEnd"/>
            <w:r>
              <w:rPr>
                <w:b/>
                <w:bCs/>
              </w:rPr>
              <w:t xml:space="preserve"> </w:t>
            </w:r>
            <w:r w:rsidR="00602871">
              <w:rPr>
                <w:b/>
                <w:bCs/>
              </w:rPr>
              <w:t>+</w:t>
            </w:r>
          </w:p>
          <w:p w14:paraId="0E49B10C" w14:textId="4DC02927" w:rsidR="00602871" w:rsidRDefault="00602871" w:rsidP="00FD64D2">
            <w:pPr>
              <w:pStyle w:val="DHWHanging1"/>
              <w:tabs>
                <w:tab w:val="clear" w:pos="6095"/>
              </w:tabs>
              <w:ind w:left="0" w:firstLine="0"/>
              <w:rPr>
                <w:b/>
                <w:bCs/>
              </w:rPr>
            </w:pPr>
            <w:r>
              <w:rPr>
                <w:b/>
                <w:bCs/>
              </w:rPr>
              <w:t>Thermal Burns</w:t>
            </w:r>
          </w:p>
        </w:tc>
        <w:tc>
          <w:tcPr>
            <w:tcW w:w="7938" w:type="dxa"/>
          </w:tcPr>
          <w:p w14:paraId="3C19D288" w14:textId="3A3BA8FC" w:rsidR="00BC4FC0" w:rsidRDefault="00E92F5D" w:rsidP="00BC4FC0">
            <w:pPr>
              <w:pStyle w:val="DHWHanging1"/>
              <w:ind w:left="0" w:firstLine="0"/>
            </w:pPr>
            <w:r>
              <w:t>Some highly water-reactive chemicals create heat on reaction with skin. The temperature rise may be sufficient to produce thermal burn damage as well as chemical damage. However, immediate drenching with water (e.g.</w:t>
            </w:r>
            <w:r w:rsidR="00535257">
              <w:t>,</w:t>
            </w:r>
            <w:r>
              <w:t xml:space="preserve"> using a safety shower/eyewash) is still recommended for removing water reactive corrosives as sufficient water will overwhelm thermal effects. Any delay caused by trying to remove contamination using non-aqueous methods will likely result in more severe injury.</w:t>
            </w:r>
          </w:p>
        </w:tc>
      </w:tr>
      <w:tr w:rsidR="00E92F5D" w:rsidRPr="002E2B56" w14:paraId="6E3A325E" w14:textId="77777777" w:rsidTr="00276AB3">
        <w:tc>
          <w:tcPr>
            <w:tcW w:w="3078" w:type="dxa"/>
          </w:tcPr>
          <w:p w14:paraId="5502F81B" w14:textId="1F0AED66" w:rsidR="00E92F5D" w:rsidRDefault="00E92F5D" w:rsidP="00E92F5D">
            <w:pPr>
              <w:pStyle w:val="DHWHanging1"/>
              <w:tabs>
                <w:tab w:val="clear" w:pos="6095"/>
              </w:tabs>
              <w:spacing w:after="0"/>
              <w:ind w:left="0" w:firstLine="0"/>
              <w:jc w:val="left"/>
              <w:rPr>
                <w:b/>
                <w:bCs/>
              </w:rPr>
            </w:pPr>
            <w:r>
              <w:rPr>
                <w:b/>
                <w:bCs/>
              </w:rPr>
              <w:t>Corrosives Acting via Toxicity</w:t>
            </w:r>
          </w:p>
        </w:tc>
        <w:tc>
          <w:tcPr>
            <w:tcW w:w="7938" w:type="dxa"/>
          </w:tcPr>
          <w:p w14:paraId="4E6AF957" w14:textId="77777777" w:rsidR="00D479DF" w:rsidRDefault="0029777E" w:rsidP="00860176">
            <w:pPr>
              <w:pStyle w:val="DHWHanging1"/>
              <w:ind w:left="0" w:firstLine="0"/>
            </w:pPr>
            <w:r>
              <w:t xml:space="preserve">These materials may penetrate the </w:t>
            </w:r>
            <w:r w:rsidR="00A231D9">
              <w:t xml:space="preserve">skin </w:t>
            </w:r>
            <w:r w:rsidR="00860176">
              <w:t xml:space="preserve">followed by a toxic effect which damages or kills cells. This is the principal mechanism of </w:t>
            </w:r>
            <w:proofErr w:type="gramStart"/>
            <w:r w:rsidR="00860176">
              <w:t>a number of</w:t>
            </w:r>
            <w:proofErr w:type="gramEnd"/>
            <w:r w:rsidR="00860176">
              <w:t xml:space="preserve"> exceptionally dangerous corrosive substances. These substances may not initially produce any visible effect on skin, as they do not cause external burning and corrosion. </w:t>
            </w:r>
          </w:p>
          <w:p w14:paraId="1E96B8C0" w14:textId="77777777" w:rsidR="00D479DF" w:rsidRDefault="00D479DF" w:rsidP="00860176">
            <w:pPr>
              <w:pStyle w:val="DHWHanging1"/>
              <w:ind w:left="0" w:firstLine="0"/>
            </w:pPr>
          </w:p>
          <w:p w14:paraId="7DD53026" w14:textId="78EC5C1D" w:rsidR="00860176" w:rsidRDefault="00860176" w:rsidP="00860176">
            <w:pPr>
              <w:pStyle w:val="DHWHanging1"/>
              <w:ind w:left="0" w:firstLine="0"/>
            </w:pPr>
            <w:r>
              <w:lastRenderedPageBreak/>
              <w:t xml:space="preserve">These substances penetrate the skin (or other part of the body), then cause cellular death and damage in the underlying tissues, which can result in an extremely serious burn appearing, often after a misleading symptomless delay. </w:t>
            </w:r>
          </w:p>
          <w:p w14:paraId="3147F290" w14:textId="6CFA6CD1" w:rsidR="00860176" w:rsidRDefault="00860176" w:rsidP="00860176">
            <w:pPr>
              <w:pStyle w:val="DHWHanging1"/>
              <w:ind w:left="0" w:firstLine="0"/>
            </w:pPr>
            <w:r>
              <w:t>Burns by these substances may be accompanied by systemic (i.e.</w:t>
            </w:r>
            <w:r w:rsidR="00365C1D">
              <w:t>,</w:t>
            </w:r>
            <w:r>
              <w:t xml:space="preserve"> non-localized) poisoning, which may be fatal if sufficient material is absorbed.</w:t>
            </w:r>
          </w:p>
          <w:p w14:paraId="30313C81" w14:textId="77777777" w:rsidR="00860176" w:rsidRDefault="00860176" w:rsidP="00860176">
            <w:pPr>
              <w:pStyle w:val="DHWIndent1"/>
              <w:ind w:left="0"/>
            </w:pPr>
            <w:r>
              <w:t>Examples:</w:t>
            </w:r>
          </w:p>
          <w:p w14:paraId="6BEAF18F" w14:textId="77777777" w:rsidR="00860176" w:rsidRPr="00DC341A" w:rsidRDefault="00860176" w:rsidP="00860176">
            <w:pPr>
              <w:pStyle w:val="DHWIndent1"/>
              <w:numPr>
                <w:ilvl w:val="0"/>
                <w:numId w:val="12"/>
              </w:numPr>
            </w:pPr>
            <w:r w:rsidRPr="00DC341A">
              <w:t>Hydrogen fluoride (hydrofluoric acid), phenol, (di)</w:t>
            </w:r>
            <w:proofErr w:type="spellStart"/>
            <w:r w:rsidRPr="00DC341A">
              <w:t>alkylarsenic</w:t>
            </w:r>
            <w:proofErr w:type="spellEnd"/>
            <w:r w:rsidRPr="00DC341A">
              <w:t xml:space="preserve"> halides</w:t>
            </w:r>
          </w:p>
          <w:p w14:paraId="2F41ECD7" w14:textId="3D45E769" w:rsidR="00860176" w:rsidRPr="00DC341A" w:rsidRDefault="00860176" w:rsidP="00860176">
            <w:pPr>
              <w:pStyle w:val="DHWIndent1"/>
              <w:numPr>
                <w:ilvl w:val="0"/>
                <w:numId w:val="12"/>
              </w:numPr>
            </w:pPr>
            <w:r w:rsidRPr="00DC341A">
              <w:t>Strong electrophiles</w:t>
            </w:r>
            <w:r>
              <w:t xml:space="preserve">, </w:t>
            </w:r>
            <w:proofErr w:type="gramStart"/>
            <w:r>
              <w:t>including</w:t>
            </w:r>
            <w:r w:rsidRPr="00DC341A">
              <w:t>:</w:t>
            </w:r>
            <w:proofErr w:type="gramEnd"/>
            <w:r>
              <w:t xml:space="preserve"> </w:t>
            </w:r>
            <w:r w:rsidRPr="00DC341A">
              <w:t>Simple alkylating agents, e.g.</w:t>
            </w:r>
            <w:r w:rsidR="00535257">
              <w:t>,</w:t>
            </w:r>
            <w:r w:rsidRPr="00DC341A">
              <w:t xml:space="preserve"> dimethyl sulfate, iodomethane</w:t>
            </w:r>
            <w:r>
              <w:t>; e</w:t>
            </w:r>
            <w:r w:rsidRPr="00DC341A">
              <w:t>lectrophiles which react by ring-opening, e.g. aziridines, epoxides, ethylene sulfide</w:t>
            </w:r>
            <w:r>
              <w:t>; m</w:t>
            </w:r>
            <w:r w:rsidRPr="00DC341A">
              <w:t>ustards, i.e.</w:t>
            </w:r>
            <w:r w:rsidR="00535257">
              <w:t>,</w:t>
            </w:r>
            <w:r w:rsidRPr="00DC341A">
              <w:t xml:space="preserve"> compounds containing 2-chloroethylamine or 2-chloroethyl sulfide moieties</w:t>
            </w:r>
            <w:r>
              <w:t>; s</w:t>
            </w:r>
            <w:r w:rsidRPr="00DC341A">
              <w:t>trong Michael acceptors, e.g.</w:t>
            </w:r>
            <w:r w:rsidR="00535257">
              <w:t>,</w:t>
            </w:r>
            <w:r w:rsidRPr="00DC341A">
              <w:t xml:space="preserve"> divinyl sulfone, ethyl vinyl ketone</w:t>
            </w:r>
            <w:r>
              <w:t xml:space="preserve">; reactive aldehydes, including formaldehyde, glutaraldehyde, </w:t>
            </w:r>
            <w:proofErr w:type="spellStart"/>
            <w:r>
              <w:t>p</w:t>
            </w:r>
            <w:r w:rsidRPr="00DC341A">
              <w:t>hthaldialdehyde</w:t>
            </w:r>
            <w:proofErr w:type="spellEnd"/>
            <w:r>
              <w:t>, glyoxal.</w:t>
            </w:r>
          </w:p>
          <w:p w14:paraId="6DF5152C" w14:textId="3172A1B9" w:rsidR="00E92F5D" w:rsidRDefault="00860176" w:rsidP="00860176">
            <w:pPr>
              <w:pStyle w:val="DHWIndent1"/>
              <w:ind w:left="0"/>
            </w:pPr>
            <w:r>
              <w:t>Many</w:t>
            </w:r>
            <w:r w:rsidRPr="00DC341A">
              <w:t xml:space="preserve"> of these examples can mai</w:t>
            </w:r>
            <w:r w:rsidR="009F4693">
              <w:t>m</w:t>
            </w:r>
            <w:r w:rsidRPr="00DC341A">
              <w:t xml:space="preserve"> or kill by systemic toxicity following skin contact. Acutely toxic corrosives also need to be covered by an SOP for acute toxicants.</w:t>
            </w:r>
          </w:p>
        </w:tc>
      </w:tr>
      <w:tr w:rsidR="00860176" w:rsidRPr="002E2B56" w14:paraId="310849A3" w14:textId="77777777" w:rsidTr="00276AB3">
        <w:tc>
          <w:tcPr>
            <w:tcW w:w="3078" w:type="dxa"/>
          </w:tcPr>
          <w:p w14:paraId="747F9E38" w14:textId="61BE1BA1" w:rsidR="00860176" w:rsidRDefault="001C3338" w:rsidP="00E92F5D">
            <w:pPr>
              <w:pStyle w:val="DHWHanging1"/>
              <w:tabs>
                <w:tab w:val="clear" w:pos="6095"/>
              </w:tabs>
              <w:spacing w:after="0"/>
              <w:ind w:left="0" w:firstLine="0"/>
              <w:jc w:val="left"/>
              <w:rPr>
                <w:b/>
                <w:bCs/>
              </w:rPr>
            </w:pPr>
            <w:r>
              <w:rPr>
                <w:b/>
                <w:bCs/>
              </w:rPr>
              <w:lastRenderedPageBreak/>
              <w:t>Toxic and Reactive Corrosives</w:t>
            </w:r>
          </w:p>
        </w:tc>
        <w:tc>
          <w:tcPr>
            <w:tcW w:w="7938" w:type="dxa"/>
          </w:tcPr>
          <w:p w14:paraId="5EE5CD77" w14:textId="52F1CC2A" w:rsidR="00860176" w:rsidRDefault="00535257" w:rsidP="00860176">
            <w:pPr>
              <w:pStyle w:val="DHWHanging1"/>
              <w:ind w:left="0" w:firstLine="0"/>
            </w:pPr>
            <w:r>
              <w:t xml:space="preserve">Several dangerously corrosive non-metal halides and oxyhalides likely act more-or-less equally through both the above mechanisms, e.g., thionyl chloride, </w:t>
            </w:r>
            <w:proofErr w:type="spellStart"/>
            <w:r>
              <w:t>disulfur</w:t>
            </w:r>
            <w:proofErr w:type="spellEnd"/>
            <w:r>
              <w:t xml:space="preserve"> dichloride, selenium oxychloride (</w:t>
            </w:r>
            <w:proofErr w:type="spellStart"/>
            <w:r>
              <w:t>s</w:t>
            </w:r>
            <w:r w:rsidRPr="00936E78">
              <w:t>eleninyl</w:t>
            </w:r>
            <w:proofErr w:type="spellEnd"/>
            <w:r w:rsidRPr="00936E78">
              <w:t xml:space="preserve"> chloride</w:t>
            </w:r>
            <w:r>
              <w:t>), arsenic halides.</w:t>
            </w:r>
          </w:p>
        </w:tc>
      </w:tr>
      <w:tr w:rsidR="0054203C" w:rsidRPr="002E2B56" w14:paraId="0D7D43AF" w14:textId="77777777" w:rsidTr="007012B9">
        <w:trPr>
          <w:trHeight w:val="3434"/>
        </w:trPr>
        <w:tc>
          <w:tcPr>
            <w:tcW w:w="3078" w:type="dxa"/>
          </w:tcPr>
          <w:p w14:paraId="5C92AFB9" w14:textId="13319733" w:rsidR="0054203C" w:rsidRPr="002E2B56" w:rsidRDefault="00435B10" w:rsidP="00FD64D2">
            <w:pPr>
              <w:pStyle w:val="DHWHanging1"/>
              <w:tabs>
                <w:tab w:val="clear" w:pos="6095"/>
              </w:tabs>
              <w:ind w:left="0" w:firstLine="0"/>
              <w:rPr>
                <w:b/>
                <w:bCs/>
              </w:rPr>
            </w:pPr>
            <w:r>
              <w:rPr>
                <w:b/>
                <w:bCs/>
              </w:rPr>
              <w:t>Hazard Identification</w:t>
            </w:r>
          </w:p>
        </w:tc>
        <w:tc>
          <w:tcPr>
            <w:tcW w:w="7938" w:type="dxa"/>
          </w:tcPr>
          <w:p w14:paraId="7D83BE23" w14:textId="3D26B63E" w:rsidR="00352EB1" w:rsidRPr="00352EB1" w:rsidRDefault="00983C74" w:rsidP="00352EB1">
            <w:pPr>
              <w:pStyle w:val="DHWHanging1"/>
              <w:tabs>
                <w:tab w:val="clear" w:pos="6095"/>
              </w:tabs>
              <w:ind w:left="0" w:firstLine="0"/>
              <w:rPr>
                <w:b/>
                <w:color w:val="FF0000"/>
              </w:rPr>
            </w:pPr>
            <w:r>
              <w:t>R</w:t>
            </w:r>
            <w:r w:rsidRPr="002E2B56">
              <w:t xml:space="preserve">efer to Section 6 </w:t>
            </w:r>
            <w:r w:rsidR="002936B0">
              <w:t xml:space="preserve">(and Appendix G) </w:t>
            </w:r>
            <w:r w:rsidRPr="002E2B56">
              <w:t xml:space="preserve">of the </w:t>
            </w:r>
            <w:hyperlink r:id="rId14" w:history="1">
              <w:r w:rsidRPr="002E2B56">
                <w:rPr>
                  <w:rStyle w:val="Hyperlink"/>
                </w:rPr>
                <w:t>Chemical Hygiene Plan (CHP)</w:t>
              </w:r>
            </w:hyperlink>
            <w:r w:rsidRPr="002E2B56">
              <w:t xml:space="preserve"> for details of the OSHA/GHS hazard classification system.</w:t>
            </w:r>
            <w:r w:rsidRPr="002E2B56">
              <w:rPr>
                <w:b/>
              </w:rPr>
              <w:t xml:space="preserve"> </w:t>
            </w:r>
            <w:r w:rsidRPr="002E2B56">
              <w:rPr>
                <w:b/>
                <w:color w:val="FF0000"/>
              </w:rPr>
              <w:t>All personnel who agree to abide by this SOP are required to familiarize themselves with the contents of Section 6 of the CHP.</w:t>
            </w:r>
          </w:p>
          <w:p w14:paraId="14988522" w14:textId="77777777" w:rsidR="007012B9" w:rsidRDefault="007012B9" w:rsidP="007012B9">
            <w:pPr>
              <w:pStyle w:val="DHWIndent1"/>
              <w:ind w:left="74"/>
            </w:pPr>
            <w:r w:rsidRPr="008D20C4">
              <w:t>For purchased chemicals, identification as a c</w:t>
            </w:r>
            <w:r>
              <w:t>orrosive</w:t>
            </w:r>
            <w:r w:rsidRPr="008D20C4">
              <w:t xml:space="preserve"> should be made by assessing the hazard information given </w:t>
            </w:r>
            <w:r>
              <w:t>in the safety data sheet (SDS).</w:t>
            </w:r>
          </w:p>
          <w:p w14:paraId="026C3D6E" w14:textId="0FAF82BA" w:rsidR="00983C74" w:rsidRDefault="007012B9" w:rsidP="007012B9">
            <w:pPr>
              <w:pStyle w:val="DHWIndent1"/>
              <w:ind w:left="74"/>
            </w:pPr>
            <w:r>
              <w:t>For synthesized chemicals, assume that all the following are corrosive: Acids, bases, substances which hydroly</w:t>
            </w:r>
            <w:r w:rsidR="009F4693">
              <w:t>z</w:t>
            </w:r>
            <w:r>
              <w:t>e to acids/bases, highly reactive substances, and substances which have chemical analogies to known corrosive materials (</w:t>
            </w:r>
            <w:proofErr w:type="gramStart"/>
            <w:r>
              <w:t>e.g.</w:t>
            </w:r>
            <w:proofErr w:type="gramEnd"/>
            <w:r>
              <w:t xml:space="preserve"> assume all strong alkylating agents are corrosive).</w:t>
            </w:r>
          </w:p>
        </w:tc>
      </w:tr>
      <w:tr w:rsidR="002E2B56" w:rsidRPr="002E2B56" w14:paraId="018F71CF" w14:textId="77777777" w:rsidTr="00276AB3">
        <w:tc>
          <w:tcPr>
            <w:tcW w:w="3078" w:type="dxa"/>
          </w:tcPr>
          <w:p w14:paraId="1FD4D9A2" w14:textId="77777777" w:rsidR="002E2B56" w:rsidRPr="002E2B56" w:rsidRDefault="002E2B56" w:rsidP="00FD64D2">
            <w:pPr>
              <w:pStyle w:val="DHWHanging1"/>
              <w:tabs>
                <w:tab w:val="clear" w:pos="6095"/>
              </w:tabs>
              <w:ind w:left="0" w:firstLine="0"/>
            </w:pPr>
            <w:r w:rsidRPr="002E2B56">
              <w:rPr>
                <w:b/>
                <w:bCs/>
              </w:rPr>
              <w:t>Specific Substances</w:t>
            </w:r>
          </w:p>
        </w:tc>
        <w:tc>
          <w:tcPr>
            <w:tcW w:w="7938" w:type="dxa"/>
          </w:tcPr>
          <w:p w14:paraId="43ADE74E" w14:textId="5DC74D9A" w:rsidR="002E2B56" w:rsidRPr="002E2B56" w:rsidRDefault="002E2B56" w:rsidP="00FD64D2">
            <w:pPr>
              <w:pStyle w:val="DHWHanging1"/>
              <w:tabs>
                <w:tab w:val="clear" w:pos="6095"/>
              </w:tabs>
              <w:ind w:left="0" w:firstLine="0"/>
            </w:pPr>
            <w:r w:rsidRPr="002E2B56">
              <w:rPr>
                <w:highlight w:val="yellow"/>
              </w:rPr>
              <w:t>[Add details of specific substances you will be using in the lab under this SOP.]</w:t>
            </w:r>
          </w:p>
        </w:tc>
      </w:tr>
      <w:tr w:rsidR="00276AB3" w:rsidRPr="002E2B56" w14:paraId="31C52332" w14:textId="77777777" w:rsidTr="00276AB3">
        <w:tc>
          <w:tcPr>
            <w:tcW w:w="3078" w:type="dxa"/>
          </w:tcPr>
          <w:p w14:paraId="1EF3439B" w14:textId="686720DC" w:rsidR="00276AB3" w:rsidRPr="002E2B56" w:rsidRDefault="00276AB3" w:rsidP="00FD64D2">
            <w:pPr>
              <w:pStyle w:val="DHWHanging1"/>
              <w:tabs>
                <w:tab w:val="clear" w:pos="6095"/>
              </w:tabs>
              <w:ind w:left="0" w:firstLine="0"/>
              <w:rPr>
                <w:b/>
                <w:bCs/>
              </w:rPr>
            </w:pPr>
            <w:r>
              <w:rPr>
                <w:b/>
                <w:bCs/>
              </w:rPr>
              <w:t>Designated Work Areas</w:t>
            </w:r>
            <w:r w:rsidR="00D2185A">
              <w:rPr>
                <w:b/>
                <w:bCs/>
              </w:rPr>
              <w:t>/ Signage</w:t>
            </w:r>
          </w:p>
        </w:tc>
        <w:tc>
          <w:tcPr>
            <w:tcW w:w="7938" w:type="dxa"/>
          </w:tcPr>
          <w:p w14:paraId="37783FA2" w14:textId="77777777" w:rsidR="00D479DF" w:rsidRDefault="00945149" w:rsidP="00945149">
            <w:pPr>
              <w:pStyle w:val="DHWHanging1"/>
              <w:ind w:left="0" w:firstLine="0"/>
            </w:pPr>
            <w:r>
              <w:t xml:space="preserve">For low hazard work with </w:t>
            </w:r>
            <w:r w:rsidRPr="004A49AF">
              <w:t>c</w:t>
            </w:r>
            <w:r>
              <w:t>orrosives</w:t>
            </w:r>
            <w:r w:rsidRPr="004A49AF">
              <w:t xml:space="preserve"> (</w:t>
            </w:r>
            <w:r>
              <w:t xml:space="preserve">limited quantities, low </w:t>
            </w:r>
            <w:r w:rsidRPr="004A49AF">
              <w:t>concentrations</w:t>
            </w:r>
            <w:r>
              <w:t>, or weak corrosives</w:t>
            </w:r>
            <w:r w:rsidRPr="004A49AF">
              <w:t xml:space="preserve">), the lab may be considered the designated area provided the lab door signs include </w:t>
            </w:r>
            <w:r>
              <w:t>appropriate</w:t>
            </w:r>
            <w:r w:rsidRPr="004A49AF">
              <w:t xml:space="preserve"> warning pictograms. </w:t>
            </w:r>
          </w:p>
          <w:p w14:paraId="4F78AD29" w14:textId="77777777" w:rsidR="00D479DF" w:rsidRDefault="00D479DF" w:rsidP="00945149">
            <w:pPr>
              <w:pStyle w:val="DHWHanging1"/>
              <w:ind w:left="0" w:firstLine="0"/>
            </w:pPr>
          </w:p>
          <w:p w14:paraId="4A90BBB3" w14:textId="1B2E04BE" w:rsidR="00945149" w:rsidRDefault="00945149" w:rsidP="00945149">
            <w:pPr>
              <w:pStyle w:val="DHWHanging1"/>
              <w:ind w:left="0" w:firstLine="0"/>
            </w:pPr>
            <w:r w:rsidRPr="00EF3CAB">
              <w:lastRenderedPageBreak/>
              <w:t>More hazardous work with</w:t>
            </w:r>
            <w:r>
              <w:t xml:space="preserve"> corrosives</w:t>
            </w:r>
            <w:r w:rsidRPr="00EF3CAB">
              <w:t xml:space="preserve"> should be done at designated areas within the lab</w:t>
            </w:r>
            <w:r>
              <w:t xml:space="preserve"> where spillage can be easily contained</w:t>
            </w:r>
            <w:r w:rsidRPr="00EF3CAB">
              <w:t xml:space="preserve"> (e.g.</w:t>
            </w:r>
            <w:r>
              <w:t>,</w:t>
            </w:r>
            <w:r w:rsidRPr="00EF3CAB">
              <w:t xml:space="preserve"> a fume hood)</w:t>
            </w:r>
            <w:r>
              <w:t xml:space="preserve"> and</w:t>
            </w:r>
            <w:r w:rsidRPr="00EF3CAB">
              <w:t xml:space="preserve"> which should be signed “Warning — </w:t>
            </w:r>
            <w:r>
              <w:t>Corrosive</w:t>
            </w:r>
            <w:r w:rsidRPr="00EF3CAB">
              <w:t xml:space="preserve">” (or equivalent wording). </w:t>
            </w:r>
          </w:p>
          <w:p w14:paraId="220628F5" w14:textId="2D7D99FF" w:rsidR="00945149" w:rsidRDefault="00945149" w:rsidP="00945149">
            <w:pPr>
              <w:pStyle w:val="DHWHanging1"/>
              <w:ind w:left="0" w:firstLine="0"/>
            </w:pPr>
            <w:r>
              <w:t>If highly hazardous work is being performed, additional signage giving the name of the responsible individual and contact number is also recommended.</w:t>
            </w:r>
          </w:p>
          <w:p w14:paraId="64715719" w14:textId="542AE712" w:rsidR="00BF742E" w:rsidRPr="00E331B2" w:rsidRDefault="00945149" w:rsidP="00E331B2">
            <w:pPr>
              <w:pStyle w:val="DHWIndent1"/>
              <w:ind w:left="0"/>
            </w:pPr>
            <w:r w:rsidRPr="006260CB">
              <w:rPr>
                <w:b/>
                <w:color w:val="FF0000"/>
              </w:rPr>
              <w:t>Corrosive work</w:t>
            </w:r>
            <w:r>
              <w:rPr>
                <w:b/>
                <w:color w:val="FF0000"/>
              </w:rPr>
              <w:t xml:space="preserve"> and storage</w:t>
            </w:r>
            <w:r w:rsidRPr="006260CB">
              <w:rPr>
                <w:b/>
                <w:color w:val="FF0000"/>
              </w:rPr>
              <w:t xml:space="preserve"> areas </w:t>
            </w:r>
            <w:r>
              <w:rPr>
                <w:b/>
                <w:color w:val="FF0000"/>
              </w:rPr>
              <w:t>shall</w:t>
            </w:r>
            <w:r w:rsidRPr="006260CB">
              <w:rPr>
                <w:b/>
                <w:color w:val="FF0000"/>
              </w:rPr>
              <w:t xml:space="preserve"> be serviced by a</w:t>
            </w:r>
            <w:r>
              <w:rPr>
                <w:b/>
                <w:color w:val="FF0000"/>
              </w:rPr>
              <w:t xml:space="preserve"> regulatory-c</w:t>
            </w:r>
            <w:r w:rsidRPr="006260CB">
              <w:rPr>
                <w:b/>
                <w:color w:val="FF0000"/>
              </w:rPr>
              <w:t>ompliant safety shower/eyewash combination.</w:t>
            </w:r>
            <w:r>
              <w:t xml:space="preserve"> Corrosive materials shall NOT be handled or stored if this requirement is not met. Additionally, an eyewash shall be immediately adjacent to the hazard if a “strong acid or strong caustic” is used (ANSI Z385.1).</w:t>
            </w:r>
            <w:r w:rsidRPr="00DC341A">
              <w:t xml:space="preserve"> </w:t>
            </w:r>
            <w:r>
              <w:t xml:space="preserve">Please refer to the CHP for more information on safety shower/eyewash requirements. Email </w:t>
            </w:r>
            <w:hyperlink r:id="rId15" w:history="1">
              <w:r w:rsidRPr="008719AC">
                <w:rPr>
                  <w:rStyle w:val="Hyperlink"/>
                </w:rPr>
                <w:t>labsafety@usc.edu</w:t>
              </w:r>
            </w:hyperlink>
            <w:r>
              <w:t xml:space="preserve"> if further information is required.</w:t>
            </w:r>
          </w:p>
          <w:p w14:paraId="75755830" w14:textId="042A43A2" w:rsidR="00276AB3" w:rsidRPr="002E2B56" w:rsidRDefault="00D2185A" w:rsidP="00D2185A">
            <w:pPr>
              <w:pStyle w:val="DHWIndent1"/>
              <w:ind w:left="-13" w:firstLine="13"/>
              <w:rPr>
                <w:highlight w:val="yellow"/>
              </w:rPr>
            </w:pPr>
            <w:r w:rsidRPr="002B7145">
              <w:rPr>
                <w:highlight w:val="yellow"/>
              </w:rPr>
              <w:t>[</w:t>
            </w:r>
            <w:r>
              <w:rPr>
                <w:highlight w:val="yellow"/>
              </w:rPr>
              <w:t>Add</w:t>
            </w:r>
            <w:r w:rsidRPr="002B7145">
              <w:rPr>
                <w:highlight w:val="yellow"/>
              </w:rPr>
              <w:t xml:space="preserve"> </w:t>
            </w:r>
            <w:r>
              <w:rPr>
                <w:highlight w:val="yellow"/>
              </w:rPr>
              <w:t>lab-specific work area and signage information</w:t>
            </w:r>
            <w:r w:rsidRPr="002B7145">
              <w:rPr>
                <w:highlight w:val="yellow"/>
              </w:rPr>
              <w:t xml:space="preserve"> here</w:t>
            </w:r>
            <w:r>
              <w:rPr>
                <w:highlight w:val="yellow"/>
              </w:rPr>
              <w:t>, if needed</w:t>
            </w:r>
            <w:r w:rsidRPr="002B7145">
              <w:rPr>
                <w:highlight w:val="yellow"/>
              </w:rPr>
              <w:t>.]</w:t>
            </w:r>
          </w:p>
        </w:tc>
      </w:tr>
      <w:tr w:rsidR="00276AB3" w:rsidRPr="002E2B56" w14:paraId="65C414E1" w14:textId="77777777" w:rsidTr="00276AB3">
        <w:tc>
          <w:tcPr>
            <w:tcW w:w="3078" w:type="dxa"/>
          </w:tcPr>
          <w:p w14:paraId="195B56CB" w14:textId="0EFCD0A3" w:rsidR="00276AB3" w:rsidRPr="002E2B56" w:rsidRDefault="00D2185A" w:rsidP="00FD64D2">
            <w:pPr>
              <w:pStyle w:val="DHWHanging1"/>
              <w:tabs>
                <w:tab w:val="clear" w:pos="6095"/>
              </w:tabs>
              <w:ind w:left="0" w:firstLine="0"/>
              <w:rPr>
                <w:b/>
                <w:bCs/>
              </w:rPr>
            </w:pPr>
            <w:r>
              <w:rPr>
                <w:b/>
                <w:bCs/>
              </w:rPr>
              <w:lastRenderedPageBreak/>
              <w:t>Unattended Experiments</w:t>
            </w:r>
          </w:p>
        </w:tc>
        <w:tc>
          <w:tcPr>
            <w:tcW w:w="7938" w:type="dxa"/>
          </w:tcPr>
          <w:p w14:paraId="601D7951" w14:textId="5505DA98" w:rsidR="00276AB3" w:rsidRPr="002E2B56" w:rsidRDefault="00015776" w:rsidP="00FD64D2">
            <w:pPr>
              <w:pStyle w:val="DHWHanging1"/>
              <w:tabs>
                <w:tab w:val="clear" w:pos="6095"/>
              </w:tabs>
              <w:ind w:left="0" w:firstLine="0"/>
              <w:rPr>
                <w:highlight w:val="yellow"/>
              </w:rPr>
            </w:pPr>
            <w:r>
              <w:t xml:space="preserve">Unattended hazardous experiments should be signed according to the requirements of the </w:t>
            </w:r>
            <w:hyperlink r:id="rId16" w:history="1">
              <w:r w:rsidRPr="00017BA4">
                <w:rPr>
                  <w:rStyle w:val="Hyperlink"/>
                </w:rPr>
                <w:t>Unattended Experiments Fact Sheet</w:t>
              </w:r>
            </w:hyperlink>
            <w:r w:rsidRPr="00017BA4">
              <w:t>.</w:t>
            </w:r>
          </w:p>
        </w:tc>
      </w:tr>
      <w:tr w:rsidR="00015776" w:rsidRPr="002E2B56" w14:paraId="3DA5FEAD" w14:textId="77777777" w:rsidTr="00D479DF">
        <w:trPr>
          <w:trHeight w:val="7394"/>
        </w:trPr>
        <w:tc>
          <w:tcPr>
            <w:tcW w:w="3078" w:type="dxa"/>
          </w:tcPr>
          <w:p w14:paraId="67D58D59" w14:textId="5CE27D48" w:rsidR="00015776" w:rsidRDefault="00015776" w:rsidP="00FD64D2">
            <w:pPr>
              <w:pStyle w:val="DHWHanging1"/>
              <w:tabs>
                <w:tab w:val="clear" w:pos="6095"/>
              </w:tabs>
              <w:ind w:left="0" w:firstLine="0"/>
              <w:rPr>
                <w:b/>
                <w:bCs/>
              </w:rPr>
            </w:pPr>
            <w:r w:rsidRPr="00156E48">
              <w:rPr>
                <w:b/>
                <w:bCs/>
              </w:rPr>
              <w:t>Storage Requirements</w:t>
            </w:r>
          </w:p>
        </w:tc>
        <w:tc>
          <w:tcPr>
            <w:tcW w:w="7938" w:type="dxa"/>
          </w:tcPr>
          <w:p w14:paraId="6398CB22" w14:textId="77777777" w:rsidR="00BC07BD" w:rsidRDefault="00BC07BD" w:rsidP="00BC07BD">
            <w:pPr>
              <w:pStyle w:val="DHWHanging1"/>
              <w:ind w:left="0" w:firstLine="0"/>
            </w:pPr>
            <w:r>
              <w:t>Corrosive materials should be stored in cool, dry well-ventilated areas below eye level, away from sunlight in an upright and tightly closed manner. Concentrated acids and bases should be stored in dedicated cabinets in appropriate secondary containment (</w:t>
            </w:r>
            <w:proofErr w:type="gramStart"/>
            <w:r>
              <w:t>e.g.</w:t>
            </w:r>
            <w:proofErr w:type="gramEnd"/>
            <w:r>
              <w:t xml:space="preserve"> polypropylene trays). Separate cabinets should be used to segregate acids from bases, segregate organic from inorganic acids, segregate oxidizing acids from reducing/flammable/combustible acids, and segregate organic from inorganic bases. If there is lack of space, separate secondary containment within the same cabinet may separate incompatible materials provided excessive hazard is not thereby created; EH&amp;S can advise on a case-by-case basis.</w:t>
            </w:r>
          </w:p>
          <w:p w14:paraId="77B5C186" w14:textId="77777777" w:rsidR="00BC07BD" w:rsidRDefault="00BC07BD" w:rsidP="00BC07BD">
            <w:pPr>
              <w:pStyle w:val="DHWIndent1"/>
              <w:ind w:left="0"/>
            </w:pPr>
            <w:r>
              <w:t>Avoid storing volatile acidic corrosives (</w:t>
            </w:r>
            <w:proofErr w:type="gramStart"/>
            <w:r>
              <w:t>e.g.</w:t>
            </w:r>
            <w:proofErr w:type="gramEnd"/>
            <w:r>
              <w:t xml:space="preserve"> hydrochloric acid) in metal cabinets as this may lead to corrosion. If this must be done, placing a container of activated carbon or calcium hydroxide in the cabinet will absorb vapor and reduce corrosion.</w:t>
            </w:r>
          </w:p>
          <w:p w14:paraId="39CF86B8" w14:textId="20D5AB31" w:rsidR="004A5DFC" w:rsidRDefault="00BC07BD" w:rsidP="00BC07BD">
            <w:pPr>
              <w:pStyle w:val="DHWIndent1"/>
              <w:ind w:left="0"/>
            </w:pPr>
            <w:r>
              <w:t>Do NOT store oxidizing acids (</w:t>
            </w:r>
            <w:proofErr w:type="gramStart"/>
            <w:r>
              <w:t>e.g.</w:t>
            </w:r>
            <w:proofErr w:type="gramEnd"/>
            <w:r>
              <w:t xml:space="preserve"> perchloric acid, nitric acid) with flammable/combustible organic acids (e.g. acetic acid); use separate cabinets. Oxidizing and reducing inorganic acids should NOT be stored in the same secondary containment (reducing acids include hydroiodic acid and </w:t>
            </w:r>
            <w:proofErr w:type="spellStart"/>
            <w:r>
              <w:t>hypophosphorus</w:t>
            </w:r>
            <w:proofErr w:type="spellEnd"/>
            <w:r>
              <w:t xml:space="preserve"> acid).</w:t>
            </w:r>
          </w:p>
          <w:p w14:paraId="069C84F9" w14:textId="2A73DC19" w:rsidR="00015776" w:rsidRDefault="000A6A54" w:rsidP="006A568B">
            <w:pPr>
              <w:pStyle w:val="DHWHanging1"/>
              <w:ind w:left="0" w:firstLine="0"/>
            </w:pPr>
            <w:r>
              <w:t>R</w:t>
            </w:r>
            <w:r w:rsidR="00263D0D">
              <w:t xml:space="preserve">efer to the </w:t>
            </w:r>
            <w:hyperlink r:id="rId17" w:history="1">
              <w:r w:rsidR="006025F9" w:rsidRPr="00057A6E">
                <w:rPr>
                  <w:rStyle w:val="Hyperlink"/>
                </w:rPr>
                <w:t>CHP</w:t>
              </w:r>
              <w:r w:rsidR="006025F9" w:rsidRPr="004200E3">
                <w:rPr>
                  <w:rStyle w:val="Hyperlink"/>
                </w:rPr>
                <w:t xml:space="preserve"> </w:t>
              </w:r>
            </w:hyperlink>
            <w:r w:rsidR="00263D0D">
              <w:t xml:space="preserve">(Section 7) for further information on storage and inventory-keeping requirements. </w:t>
            </w:r>
          </w:p>
        </w:tc>
      </w:tr>
      <w:tr w:rsidR="00015776" w:rsidRPr="002E2B56" w14:paraId="62D88050" w14:textId="77777777" w:rsidTr="00276AB3">
        <w:tc>
          <w:tcPr>
            <w:tcW w:w="3078" w:type="dxa"/>
          </w:tcPr>
          <w:p w14:paraId="617D43B3" w14:textId="259C6F80" w:rsidR="00015776" w:rsidRDefault="00263D0D" w:rsidP="00FD64D2">
            <w:pPr>
              <w:pStyle w:val="DHWHanging1"/>
              <w:tabs>
                <w:tab w:val="clear" w:pos="6095"/>
              </w:tabs>
              <w:ind w:left="0" w:firstLine="0"/>
              <w:rPr>
                <w:b/>
                <w:bCs/>
              </w:rPr>
            </w:pPr>
            <w:r w:rsidRPr="00F87F67">
              <w:rPr>
                <w:b/>
                <w:bCs/>
              </w:rPr>
              <w:lastRenderedPageBreak/>
              <w:t>Labeling</w:t>
            </w:r>
          </w:p>
        </w:tc>
        <w:tc>
          <w:tcPr>
            <w:tcW w:w="7938" w:type="dxa"/>
          </w:tcPr>
          <w:p w14:paraId="1FB7B24E" w14:textId="669379CA" w:rsidR="00D562A2" w:rsidRDefault="00BC07BD" w:rsidP="00E01E36">
            <w:pPr>
              <w:pStyle w:val="DHWIndent1"/>
              <w:ind w:left="0"/>
            </w:pPr>
            <w:r>
              <w:t>Hazardous</w:t>
            </w:r>
            <w:r w:rsidR="00045061">
              <w:t xml:space="preserve"> materials</w:t>
            </w:r>
            <w:r w:rsidR="00581081">
              <w:t xml:space="preserve"> not in active use shall be labelled to indicate the hazard</w:t>
            </w:r>
            <w:r w:rsidR="00717B71">
              <w:t xml:space="preserve">. </w:t>
            </w:r>
            <w:r w:rsidR="00E01E36">
              <w:t>Corrosive</w:t>
            </w:r>
            <w:r w:rsidR="00E01E36" w:rsidRPr="008F3C30">
              <w:t xml:space="preserve"> storage areas (cupboards, shelves, or secondary containment) </w:t>
            </w:r>
            <w:r w:rsidR="00E01E36">
              <w:t>shall</w:t>
            </w:r>
            <w:r w:rsidR="00E01E36" w:rsidRPr="008F3C30">
              <w:t xml:space="preserve"> be labeled</w:t>
            </w:r>
            <w:r w:rsidR="00E01E36">
              <w:t xml:space="preserve"> “corrosive” and either “acid” or “base”, as appropriate.</w:t>
            </w:r>
          </w:p>
          <w:p w14:paraId="1D9B1DF2" w14:textId="6D354215" w:rsidR="00015776" w:rsidRDefault="00AC51AF" w:rsidP="00441DF8">
            <w:pPr>
              <w:pStyle w:val="DHWHanging1"/>
              <w:tabs>
                <w:tab w:val="clear" w:pos="6095"/>
              </w:tabs>
              <w:ind w:left="0" w:firstLine="0"/>
            </w:pPr>
            <w:r>
              <w:t xml:space="preserve">Label templates are available at the </w:t>
            </w:r>
            <w:hyperlink r:id="rId18" w:history="1">
              <w:r w:rsidRPr="00F211DC">
                <w:rPr>
                  <w:rStyle w:val="Hyperlink"/>
                </w:rPr>
                <w:t>Chemical Labeling and Signage</w:t>
              </w:r>
            </w:hyperlink>
            <w:r>
              <w:t xml:space="preserve"> web page. </w:t>
            </w:r>
            <w:r w:rsidR="00FB7463">
              <w:t>Refer</w:t>
            </w:r>
            <w:r w:rsidR="00417E48">
              <w:t xml:space="preserve"> to </w:t>
            </w:r>
            <w:hyperlink r:id="rId19" w:history="1">
              <w:r w:rsidR="00417E48" w:rsidRPr="00057A6E">
                <w:rPr>
                  <w:rStyle w:val="Hyperlink"/>
                </w:rPr>
                <w:t>CHP</w:t>
              </w:r>
              <w:r w:rsidR="00417E48" w:rsidRPr="004200E3">
                <w:rPr>
                  <w:rStyle w:val="Hyperlink"/>
                </w:rPr>
                <w:t xml:space="preserve"> </w:t>
              </w:r>
            </w:hyperlink>
            <w:r w:rsidR="00417E48">
              <w:t>(Section 5) for detailed requirements on hazardous materials labeling</w:t>
            </w:r>
            <w:r w:rsidR="001934D1">
              <w:t>.</w:t>
            </w:r>
            <w:r w:rsidR="00240BC9">
              <w:t xml:space="preserve"> </w:t>
            </w:r>
          </w:p>
        </w:tc>
      </w:tr>
      <w:tr w:rsidR="00015776" w:rsidRPr="002E2B56" w14:paraId="0A377A0C" w14:textId="77777777" w:rsidTr="00276AB3">
        <w:tc>
          <w:tcPr>
            <w:tcW w:w="3078" w:type="dxa"/>
          </w:tcPr>
          <w:p w14:paraId="2172971A" w14:textId="77777777" w:rsidR="00263D0D" w:rsidRPr="00F87F67" w:rsidRDefault="00263D0D" w:rsidP="00263D0D">
            <w:pPr>
              <w:rPr>
                <w:rFonts w:ascii="Gill Sans MT" w:hAnsi="Gill Sans MT"/>
              </w:rPr>
            </w:pPr>
            <w:r w:rsidRPr="00F87F67">
              <w:rPr>
                <w:rFonts w:ascii="Gill Sans MT" w:hAnsi="Gill Sans MT"/>
                <w:b/>
                <w:bCs/>
              </w:rPr>
              <w:t>Personal Protective Equipment</w:t>
            </w:r>
          </w:p>
          <w:p w14:paraId="70D19FBC" w14:textId="77777777" w:rsidR="00015776" w:rsidRDefault="00015776" w:rsidP="00FD64D2">
            <w:pPr>
              <w:pStyle w:val="DHWHanging1"/>
              <w:tabs>
                <w:tab w:val="clear" w:pos="6095"/>
              </w:tabs>
              <w:ind w:left="0" w:firstLine="0"/>
              <w:rPr>
                <w:b/>
                <w:bCs/>
              </w:rPr>
            </w:pPr>
          </w:p>
        </w:tc>
        <w:tc>
          <w:tcPr>
            <w:tcW w:w="7938" w:type="dxa"/>
          </w:tcPr>
          <w:p w14:paraId="3D902686" w14:textId="3F4A789C" w:rsidR="00FB3201" w:rsidRDefault="006D0045" w:rsidP="00FB3201">
            <w:pPr>
              <w:pStyle w:val="DHWHanging1"/>
              <w:ind w:left="0" w:firstLine="0"/>
            </w:pPr>
            <w:r>
              <w:t xml:space="preserve">Appropriate PPE shall be worn for all work with hazardous materials, in accordance with the USC </w:t>
            </w:r>
            <w:hyperlink r:id="rId20" w:history="1">
              <w:r w:rsidRPr="00057A6E">
                <w:rPr>
                  <w:rStyle w:val="Hyperlink"/>
                </w:rPr>
                <w:t>Minimum Standard</w:t>
              </w:r>
            </w:hyperlink>
            <w:r>
              <w:t xml:space="preserve">, </w:t>
            </w:r>
            <w:hyperlink r:id="rId21" w:history="1">
              <w:r w:rsidRPr="00671E98">
                <w:rPr>
                  <w:rStyle w:val="Hyperlink"/>
                </w:rPr>
                <w:t>CHP</w:t>
              </w:r>
            </w:hyperlink>
            <w:r>
              <w:t xml:space="preserve">, and </w:t>
            </w:r>
            <w:hyperlink r:id="rId22" w:history="1">
              <w:r w:rsidRPr="002A30A4">
                <w:rPr>
                  <w:rStyle w:val="Hyperlink"/>
                </w:rPr>
                <w:t>fact sheets</w:t>
              </w:r>
            </w:hyperlink>
            <w:r>
              <w:t xml:space="preserve">. </w:t>
            </w:r>
            <w:r w:rsidR="00FB3201">
              <w:t>Most commonly, research lab PPE consists of a lab coat, eye protection (safety glasses; goggles required if there is a splash hazard) and chemical protective gloves. A face shield may be needed in addition to goggles for severe splash hazards. Note that</w:t>
            </w:r>
            <w:r w:rsidR="00FB3201" w:rsidRPr="002A30A4">
              <w:t xml:space="preserve"> </w:t>
            </w:r>
            <w:r w:rsidR="00FB3201">
              <w:t xml:space="preserve">for reasons of safety and regulatory compliance, respirator usage is NOT permitted outside of the </w:t>
            </w:r>
            <w:hyperlink r:id="rId23" w:history="1">
              <w:r w:rsidR="00FB3201" w:rsidRPr="002A30A4">
                <w:rPr>
                  <w:rStyle w:val="Hyperlink"/>
                </w:rPr>
                <w:t>USC Respiratory Protection Program</w:t>
              </w:r>
            </w:hyperlink>
            <w:r w:rsidR="00FB3201">
              <w:t xml:space="preserve">. Refer to the </w:t>
            </w:r>
            <w:hyperlink r:id="rId24" w:history="1">
              <w:r w:rsidR="003D134F" w:rsidRPr="00057A6E">
                <w:rPr>
                  <w:rStyle w:val="Hyperlink"/>
                </w:rPr>
                <w:t>CHP</w:t>
              </w:r>
              <w:r w:rsidR="003D134F" w:rsidRPr="004200E3">
                <w:rPr>
                  <w:rStyle w:val="Hyperlink"/>
                </w:rPr>
                <w:t xml:space="preserve"> </w:t>
              </w:r>
            </w:hyperlink>
            <w:r w:rsidR="00FB3201">
              <w:t xml:space="preserve">(Section 8) and </w:t>
            </w:r>
            <w:hyperlink r:id="rId25" w:history="1">
              <w:r w:rsidR="00FB3201" w:rsidRPr="00057A6E">
                <w:rPr>
                  <w:rStyle w:val="Hyperlink"/>
                </w:rPr>
                <w:t>EH&amp;S Fact Sheets</w:t>
              </w:r>
            </w:hyperlink>
            <w:r w:rsidR="00FB3201">
              <w:t xml:space="preserve"> for additional information about PPE requirements.</w:t>
            </w:r>
          </w:p>
          <w:p w14:paraId="34E9D906" w14:textId="5E22C3C9" w:rsidR="00015776" w:rsidRDefault="006D0045" w:rsidP="00AF6450">
            <w:pPr>
              <w:pStyle w:val="DHWHanging1"/>
              <w:ind w:left="0" w:firstLine="0"/>
            </w:pPr>
            <w:r>
              <w:t xml:space="preserve"> </w:t>
            </w:r>
            <w:r w:rsidR="00D25C13" w:rsidRPr="00A01A55">
              <w:rPr>
                <w:highlight w:val="yellow"/>
              </w:rPr>
              <w:t>[Add details of</w:t>
            </w:r>
            <w:r w:rsidR="00D25C13">
              <w:rPr>
                <w:highlight w:val="yellow"/>
              </w:rPr>
              <w:t xml:space="preserve"> any</w:t>
            </w:r>
            <w:r w:rsidR="00D25C13" w:rsidRPr="00A01A55">
              <w:rPr>
                <w:highlight w:val="yellow"/>
              </w:rPr>
              <w:t xml:space="preserve"> </w:t>
            </w:r>
            <w:r w:rsidR="00D25C13">
              <w:rPr>
                <w:highlight w:val="yellow"/>
              </w:rPr>
              <w:t>lab- or procedure-specific PPE rules/requirements.]</w:t>
            </w:r>
          </w:p>
        </w:tc>
      </w:tr>
      <w:tr w:rsidR="00CC34EB" w:rsidRPr="002E2B56" w14:paraId="23E21109" w14:textId="77777777" w:rsidTr="00FA32C7">
        <w:trPr>
          <w:trHeight w:val="4343"/>
        </w:trPr>
        <w:tc>
          <w:tcPr>
            <w:tcW w:w="3078" w:type="dxa"/>
          </w:tcPr>
          <w:p w14:paraId="3BC79074" w14:textId="651C8E97" w:rsidR="00CC34EB" w:rsidRDefault="00CC34EB" w:rsidP="00263D0D">
            <w:pPr>
              <w:rPr>
                <w:rFonts w:ascii="Gill Sans MT" w:hAnsi="Gill Sans MT"/>
                <w:b/>
                <w:bCs/>
              </w:rPr>
            </w:pPr>
            <w:r w:rsidRPr="00F87F67">
              <w:rPr>
                <w:b/>
                <w:bCs/>
              </w:rPr>
              <w:t xml:space="preserve">Exposure </w:t>
            </w:r>
            <w:r>
              <w:rPr>
                <w:b/>
                <w:bCs/>
              </w:rPr>
              <w:t>C</w:t>
            </w:r>
            <w:r w:rsidRPr="00F87F67">
              <w:rPr>
                <w:b/>
                <w:bCs/>
              </w:rPr>
              <w:t>ontrol</w:t>
            </w:r>
          </w:p>
        </w:tc>
        <w:tc>
          <w:tcPr>
            <w:tcW w:w="7938" w:type="dxa"/>
          </w:tcPr>
          <w:p w14:paraId="7E6CFEF1" w14:textId="77777777" w:rsidR="009C5968" w:rsidRDefault="009C5968" w:rsidP="009C5968">
            <w:pPr>
              <w:pStyle w:val="DHWHanging1"/>
              <w:ind w:left="0" w:firstLine="0"/>
            </w:pPr>
            <w:r w:rsidRPr="008657CD">
              <w:t>To prevent exposure of personnel, appropriate engineering safety controls (normally a fume hood) shall be used for all work which has the potential to release hazardous vapor or particulates (du</w:t>
            </w:r>
            <w:r>
              <w:t>st, powder, spray, or liquid/</w:t>
            </w:r>
            <w:r w:rsidRPr="008657CD">
              <w:t>solid aerosol). Please consult the CHP</w:t>
            </w:r>
            <w:r>
              <w:t xml:space="preserve"> (Section 8)</w:t>
            </w:r>
            <w:r w:rsidRPr="008657CD">
              <w:t xml:space="preserve"> for detailed information on engineering safety controls.</w:t>
            </w:r>
          </w:p>
          <w:p w14:paraId="367D6255" w14:textId="77777777" w:rsidR="009C5968" w:rsidRDefault="009C5968" w:rsidP="009C5968">
            <w:pPr>
              <w:pStyle w:val="DHWIndent1"/>
              <w:ind w:left="0"/>
            </w:pPr>
            <w:r>
              <w:t>Regular chemical fume hoods are generally satisfactory for acid use, but they may contain metal fittings which can corrode if large quantities of acid vapor or spray are produced. Fume hoods specially designed for acid use are present in some labs. See the CHP and refer to manufacturer’s information for further guidance on fume hood applicability.</w:t>
            </w:r>
          </w:p>
          <w:p w14:paraId="0332173F" w14:textId="77777777" w:rsidR="009C5968" w:rsidRDefault="009C5968" w:rsidP="009C5968">
            <w:pPr>
              <w:pStyle w:val="DHWIndent1"/>
              <w:ind w:left="0"/>
            </w:pPr>
            <w:r>
              <w:t xml:space="preserve">Note that special restrictions apply to the location of work which generates perchloric acid vapor. Regular fume hoods may NOT be used. Please refer to the CHP (Section 8) for detailed information on circumstances necessitating </w:t>
            </w:r>
            <w:proofErr w:type="gramStart"/>
            <w:r>
              <w:t>specially-engineered</w:t>
            </w:r>
            <w:proofErr w:type="gramEnd"/>
            <w:r>
              <w:t xml:space="preserve"> perchloric acid fume hoods.</w:t>
            </w:r>
          </w:p>
          <w:p w14:paraId="71FD7799" w14:textId="4E164BA4" w:rsidR="00CC34EB" w:rsidRDefault="009C5968" w:rsidP="00C905D5">
            <w:pPr>
              <w:pStyle w:val="DHWIndent1"/>
              <w:ind w:left="0"/>
            </w:pPr>
            <w:r w:rsidRPr="00411969">
              <w:t>Secondary containment (</w:t>
            </w:r>
            <w:proofErr w:type="gramStart"/>
            <w:r w:rsidRPr="00411969">
              <w:t>e.g.</w:t>
            </w:r>
            <w:proofErr w:type="gramEnd"/>
            <w:r w:rsidRPr="00411969">
              <w:t xml:space="preserve"> polypropylene trays) should be used for experiments wherever there is potential for </w:t>
            </w:r>
            <w:r>
              <w:t xml:space="preserve">significant </w:t>
            </w:r>
            <w:r w:rsidRPr="00411969">
              <w:t xml:space="preserve">spillage of </w:t>
            </w:r>
            <w:r>
              <w:t>corrosives</w:t>
            </w:r>
            <w:r w:rsidRPr="00411969">
              <w:t>.</w:t>
            </w:r>
            <w:r>
              <w:t xml:space="preserve"> The depressed working surface of a fume hood constitutes acceptable secondary containment for most work.</w:t>
            </w:r>
          </w:p>
        </w:tc>
      </w:tr>
      <w:tr w:rsidR="00DB3AFF" w:rsidRPr="002E2B56" w14:paraId="4F04FFAC" w14:textId="77777777" w:rsidTr="00276AB3">
        <w:tc>
          <w:tcPr>
            <w:tcW w:w="3078" w:type="dxa"/>
          </w:tcPr>
          <w:p w14:paraId="228073BE" w14:textId="58E72401" w:rsidR="00DB3AFF" w:rsidRPr="00F87F67" w:rsidRDefault="00DB3AFF" w:rsidP="00263D0D">
            <w:pPr>
              <w:rPr>
                <w:b/>
                <w:bCs/>
              </w:rPr>
            </w:pPr>
            <w:r w:rsidRPr="000B02DC">
              <w:rPr>
                <w:b/>
                <w:bCs/>
              </w:rPr>
              <w:t>Decontamination</w:t>
            </w:r>
          </w:p>
        </w:tc>
        <w:tc>
          <w:tcPr>
            <w:tcW w:w="7938" w:type="dxa"/>
          </w:tcPr>
          <w:p w14:paraId="0A9DC55C" w14:textId="3E653151" w:rsidR="00911D51" w:rsidRDefault="000A3C27" w:rsidP="00911D51">
            <w:pPr>
              <w:pStyle w:val="DHWHanging1"/>
              <w:ind w:left="0" w:firstLine="0"/>
            </w:pPr>
            <w:r>
              <w:t>Clean and decontaminate a</w:t>
            </w:r>
            <w:r w:rsidR="00911D51">
              <w:t>ll work areas and equipment after use.</w:t>
            </w:r>
            <w:r w:rsidR="00EB1C24">
              <w:t xml:space="preserve"> Ensure that all drips from or on corrosive containers and bench tops are wiped up promptly. Ensure stock bottles are clean on the outside before putting away.</w:t>
            </w:r>
          </w:p>
          <w:p w14:paraId="147AFDB9" w14:textId="77777777" w:rsidR="00D479DF" w:rsidRDefault="00D479DF" w:rsidP="00235C01">
            <w:pPr>
              <w:pStyle w:val="DHWIndent1"/>
              <w:ind w:left="0"/>
            </w:pPr>
          </w:p>
          <w:p w14:paraId="3C3491A4" w14:textId="42B4284E" w:rsidR="00235C01" w:rsidRPr="00D14423" w:rsidRDefault="00235C01" w:rsidP="00235C01">
            <w:pPr>
              <w:pStyle w:val="DHWIndent1"/>
              <w:ind w:left="0"/>
            </w:pPr>
            <w:r>
              <w:lastRenderedPageBreak/>
              <w:t>Potentially contaminated PPE shall be removed before entering clean areas. Hands shall be washed before entering clean areas and after completion of work.</w:t>
            </w:r>
          </w:p>
          <w:p w14:paraId="34E4F7D9" w14:textId="22AB8B58" w:rsidR="00DB3AFF" w:rsidRPr="00DE0677" w:rsidRDefault="00911D51" w:rsidP="00911D51">
            <w:pPr>
              <w:pStyle w:val="DHWIndent1"/>
              <w:ind w:left="0"/>
            </w:pPr>
            <w:r w:rsidRPr="00A01A55">
              <w:rPr>
                <w:highlight w:val="yellow"/>
              </w:rPr>
              <w:t>[</w:t>
            </w:r>
            <w:r>
              <w:rPr>
                <w:highlight w:val="yellow"/>
              </w:rPr>
              <w:t xml:space="preserve">Add details of </w:t>
            </w:r>
            <w:r w:rsidRPr="00A01A55">
              <w:rPr>
                <w:highlight w:val="yellow"/>
              </w:rPr>
              <w:t xml:space="preserve">specific </w:t>
            </w:r>
            <w:r>
              <w:rPr>
                <w:highlight w:val="yellow"/>
              </w:rPr>
              <w:t>decontamination/cleaning procedures, if needed.]</w:t>
            </w:r>
          </w:p>
        </w:tc>
      </w:tr>
      <w:tr w:rsidR="00DB3AFF" w:rsidRPr="002E2B56" w14:paraId="2D555996" w14:textId="77777777" w:rsidTr="00276AB3">
        <w:tc>
          <w:tcPr>
            <w:tcW w:w="3078" w:type="dxa"/>
          </w:tcPr>
          <w:p w14:paraId="2AA3641C" w14:textId="6E1C1113" w:rsidR="00DB3AFF" w:rsidRPr="00F87F67" w:rsidRDefault="00911D51" w:rsidP="00263D0D">
            <w:pPr>
              <w:rPr>
                <w:b/>
                <w:bCs/>
              </w:rPr>
            </w:pPr>
            <w:r w:rsidRPr="00F87F67">
              <w:rPr>
                <w:b/>
                <w:bCs/>
              </w:rPr>
              <w:lastRenderedPageBreak/>
              <w:t>Work Practices</w:t>
            </w:r>
          </w:p>
        </w:tc>
        <w:tc>
          <w:tcPr>
            <w:tcW w:w="7938" w:type="dxa"/>
          </w:tcPr>
          <w:p w14:paraId="46B9DC77" w14:textId="1A620605" w:rsidR="003E6EE7" w:rsidRDefault="0090376E" w:rsidP="003E6EE7">
            <w:pPr>
              <w:pStyle w:val="DHWHanging1"/>
              <w:ind w:left="-16" w:firstLine="16"/>
              <w:rPr>
                <w:highlight w:val="yellow"/>
              </w:rPr>
            </w:pPr>
            <w:r>
              <w:t xml:space="preserve">Several concentrated acids generate significant heat when diluted with water. If water is added to the acid, the mixture can locally exceed 100 °C, causing undissolved water drops to boil and throw acid out of the container. </w:t>
            </w:r>
            <w:r w:rsidRPr="00FC4101">
              <w:t>Therefore,</w:t>
            </w:r>
            <w:r w:rsidRPr="00411969">
              <w:rPr>
                <w:color w:val="FF0000"/>
              </w:rPr>
              <w:t xml:space="preserve"> </w:t>
            </w:r>
            <w:r w:rsidRPr="00FC4101">
              <w:rPr>
                <w:b/>
                <w:color w:val="FF0000"/>
              </w:rPr>
              <w:t xml:space="preserve">when diluting acids, </w:t>
            </w:r>
            <w:r w:rsidRPr="00FC4101">
              <w:rPr>
                <w:b/>
                <w:color w:val="FF0000"/>
                <w:u w:val="single"/>
              </w:rPr>
              <w:t>always</w:t>
            </w:r>
            <w:r w:rsidRPr="00FC4101">
              <w:rPr>
                <w:b/>
                <w:color w:val="FF0000"/>
              </w:rPr>
              <w:t xml:space="preserve"> </w:t>
            </w:r>
            <w:r w:rsidRPr="00FC4101">
              <w:rPr>
                <w:b/>
                <w:i/>
                <w:color w:val="FF0000"/>
              </w:rPr>
              <w:t>slowly</w:t>
            </w:r>
            <w:r w:rsidRPr="00FC4101">
              <w:rPr>
                <w:b/>
                <w:color w:val="FF0000"/>
              </w:rPr>
              <w:t xml:space="preserve"> and carefully pour </w:t>
            </w:r>
            <w:r>
              <w:rPr>
                <w:b/>
                <w:color w:val="FF0000"/>
              </w:rPr>
              <w:t xml:space="preserve">the </w:t>
            </w:r>
            <w:r w:rsidRPr="00FC4101">
              <w:rPr>
                <w:b/>
                <w:color w:val="FF0000"/>
              </w:rPr>
              <w:t>concentrated acid into water with continual stirring.</w:t>
            </w:r>
            <w:r>
              <w:rPr>
                <w:b/>
                <w:color w:val="FF0000"/>
              </w:rPr>
              <w:t xml:space="preserve"> Do NOT pour water into the acid.</w:t>
            </w:r>
            <w:r>
              <w:t xml:space="preserve"> Note that </w:t>
            </w:r>
            <w:proofErr w:type="gramStart"/>
            <w:r>
              <w:t>a number of</w:t>
            </w:r>
            <w:proofErr w:type="gramEnd"/>
            <w:r>
              <w:t xml:space="preserve"> bases also produce large temperature rises on dissolving in water (sodium hydroxide, potassium hydroxide) or reacting with water (</w:t>
            </w:r>
            <w:proofErr w:type="spellStart"/>
            <w:r>
              <w:t>CaO</w:t>
            </w:r>
            <w:proofErr w:type="spellEnd"/>
            <w:r>
              <w:t xml:space="preserve">, </w:t>
            </w:r>
            <w:proofErr w:type="spellStart"/>
            <w:r>
              <w:t>SrO</w:t>
            </w:r>
            <w:proofErr w:type="spellEnd"/>
            <w:r>
              <w:t xml:space="preserve">, </w:t>
            </w:r>
            <w:proofErr w:type="spellStart"/>
            <w:r>
              <w:t>BaO</w:t>
            </w:r>
            <w:proofErr w:type="spellEnd"/>
            <w:r>
              <w:t>). Add base to water with stirring and caution.</w:t>
            </w:r>
          </w:p>
          <w:p w14:paraId="594453F2" w14:textId="2EDF472A" w:rsidR="00DB3AFF" w:rsidRPr="00DE0677" w:rsidRDefault="00FD4C8A" w:rsidP="003E6EE7">
            <w:pPr>
              <w:pStyle w:val="DHWHanging1"/>
              <w:ind w:left="-16" w:firstLine="16"/>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certain procedures may not be done out-of-hours or alone. 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tc>
      </w:tr>
      <w:tr w:rsidR="00F1650A" w:rsidRPr="002E2B56" w14:paraId="2D6A2533" w14:textId="77777777" w:rsidTr="00276AB3">
        <w:tc>
          <w:tcPr>
            <w:tcW w:w="3078" w:type="dxa"/>
          </w:tcPr>
          <w:p w14:paraId="1948F804" w14:textId="50926BEC" w:rsidR="00F1650A" w:rsidRPr="00F87F67" w:rsidRDefault="00F1650A" w:rsidP="00263D0D">
            <w:pPr>
              <w:rPr>
                <w:b/>
                <w:bCs/>
              </w:rPr>
            </w:pPr>
            <w:r w:rsidRPr="00F87F67">
              <w:rPr>
                <w:b/>
                <w:bCs/>
              </w:rPr>
              <w:t>Experimental Procedures</w:t>
            </w:r>
          </w:p>
        </w:tc>
        <w:tc>
          <w:tcPr>
            <w:tcW w:w="7938" w:type="dxa"/>
          </w:tcPr>
          <w:p w14:paraId="1F5F7DCF" w14:textId="38B05E34" w:rsidR="00F1650A" w:rsidRDefault="00F1650A" w:rsidP="00FD4C8A">
            <w:pPr>
              <w:pStyle w:val="DHWHanging1"/>
              <w:ind w:left="0" w:firstLine="0"/>
            </w:pP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tc>
      </w:tr>
      <w:tr w:rsidR="00F1650A" w:rsidRPr="002E2B56" w14:paraId="74B476C4" w14:textId="77777777" w:rsidTr="00276AB3">
        <w:tc>
          <w:tcPr>
            <w:tcW w:w="3078" w:type="dxa"/>
          </w:tcPr>
          <w:p w14:paraId="1C28C583" w14:textId="72D6591B" w:rsidR="00F1650A" w:rsidRPr="00F87F67" w:rsidRDefault="00214866" w:rsidP="00263D0D">
            <w:pPr>
              <w:rPr>
                <w:b/>
                <w:bCs/>
              </w:rPr>
            </w:pPr>
            <w:r w:rsidRPr="00F87F67">
              <w:rPr>
                <w:b/>
                <w:bCs/>
              </w:rPr>
              <w:t xml:space="preserve">Waste </w:t>
            </w:r>
            <w:r>
              <w:rPr>
                <w:b/>
                <w:bCs/>
              </w:rPr>
              <w:t>D</w:t>
            </w:r>
            <w:r w:rsidRPr="00F87F67">
              <w:rPr>
                <w:b/>
                <w:bCs/>
              </w:rPr>
              <w:t>isposal</w:t>
            </w:r>
          </w:p>
        </w:tc>
        <w:tc>
          <w:tcPr>
            <w:tcW w:w="7938" w:type="dxa"/>
          </w:tcPr>
          <w:p w14:paraId="2725B05B" w14:textId="4C07F47D" w:rsidR="00D463C6" w:rsidRDefault="000B4229" w:rsidP="00D463C6">
            <w:pPr>
              <w:pStyle w:val="DHWHanging1"/>
              <w:ind w:left="0" w:firstLine="0"/>
            </w:pPr>
            <w:r>
              <w:t xml:space="preserve">Contaminated materials shall be disposed as hazardous chemical waste. </w:t>
            </w:r>
            <w:r w:rsidR="00AD5678">
              <w:t>F</w:t>
            </w:r>
            <w:r w:rsidR="00D463C6">
              <w:t>ollow all EH&amp;S directions (</w:t>
            </w:r>
            <w:hyperlink r:id="rId26" w:history="1">
              <w:r w:rsidR="00D463C6" w:rsidRPr="00777640">
                <w:rPr>
                  <w:rStyle w:val="Hyperlink"/>
                </w:rPr>
                <w:t>hazmat webpages</w:t>
              </w:r>
            </w:hyperlink>
            <w:r w:rsidR="00D463C6">
              <w:t xml:space="preserve">, </w:t>
            </w:r>
            <w:hyperlink r:id="rId27" w:history="1">
              <w:r w:rsidR="00D463C6" w:rsidRPr="003546A6">
                <w:rPr>
                  <w:rStyle w:val="Hyperlink"/>
                </w:rPr>
                <w:t>fact sheets</w:t>
              </w:r>
            </w:hyperlink>
            <w:r w:rsidR="00D463C6">
              <w:t xml:space="preserve">, </w:t>
            </w:r>
            <w:hyperlink r:id="rId28" w:history="1">
              <w:r w:rsidR="00D463C6" w:rsidRPr="00057A6E">
                <w:rPr>
                  <w:rStyle w:val="Hyperlink"/>
                </w:rPr>
                <w:t>CHP</w:t>
              </w:r>
            </w:hyperlink>
            <w:r w:rsidR="00D463C6">
              <w:t>)</w:t>
            </w:r>
            <w:r w:rsidR="006822AF">
              <w:t xml:space="preserve"> when</w:t>
            </w:r>
            <w:r w:rsidR="00D463C6">
              <w:t xml:space="preserve"> </w:t>
            </w:r>
            <w:r w:rsidR="006822AF">
              <w:t xml:space="preserve">disposing of hazardous chemical waste. </w:t>
            </w:r>
            <w:r w:rsidR="00AD5678">
              <w:t>E</w:t>
            </w:r>
            <w:r w:rsidR="00D463C6">
              <w:t xml:space="preserve">mail </w:t>
            </w:r>
            <w:hyperlink r:id="rId29" w:history="1">
              <w:r w:rsidR="00D463C6" w:rsidRPr="00230793">
                <w:rPr>
                  <w:rStyle w:val="Hyperlink"/>
                </w:rPr>
                <w:t>hazmat@usc.edu</w:t>
              </w:r>
            </w:hyperlink>
            <w:r w:rsidR="00D463C6">
              <w:t xml:space="preserve"> if you have questions that are not answered by EH&amp;S online resources.</w:t>
            </w:r>
          </w:p>
          <w:p w14:paraId="632DF247" w14:textId="0865AA7F" w:rsidR="00F1650A" w:rsidRDefault="00D463C6" w:rsidP="00D463C6">
            <w:pPr>
              <w:pStyle w:val="DHWIndent1"/>
              <w:ind w:left="0"/>
            </w:pPr>
            <w:r w:rsidRPr="00A01A55">
              <w:rPr>
                <w:highlight w:val="yellow"/>
              </w:rPr>
              <w:t xml:space="preserve">[Add details of </w:t>
            </w:r>
            <w:r>
              <w:rPr>
                <w:highlight w:val="yellow"/>
              </w:rPr>
              <w:t>any lab-specific waste disposal rules.</w:t>
            </w:r>
            <w:r w:rsidRPr="00A01A55">
              <w:rPr>
                <w:highlight w:val="yellow"/>
              </w:rPr>
              <w:t>]</w:t>
            </w:r>
          </w:p>
        </w:tc>
      </w:tr>
      <w:tr w:rsidR="00686FD8" w:rsidRPr="002E2B56" w14:paraId="510D8AC1" w14:textId="77777777" w:rsidTr="00276AB3">
        <w:tc>
          <w:tcPr>
            <w:tcW w:w="3078" w:type="dxa"/>
          </w:tcPr>
          <w:p w14:paraId="18F0E0B0" w14:textId="471EF64B" w:rsidR="00686FD8" w:rsidRPr="00F87F67" w:rsidRDefault="00686FD8" w:rsidP="00263D0D">
            <w:pPr>
              <w:rPr>
                <w:b/>
                <w:bCs/>
              </w:rPr>
            </w:pPr>
            <w:r w:rsidRPr="00F87F67">
              <w:rPr>
                <w:b/>
                <w:bCs/>
              </w:rPr>
              <w:t xml:space="preserve">Spill </w:t>
            </w:r>
            <w:r>
              <w:rPr>
                <w:b/>
                <w:bCs/>
              </w:rPr>
              <w:t>R</w:t>
            </w:r>
            <w:r w:rsidRPr="00F87F67">
              <w:rPr>
                <w:b/>
                <w:bCs/>
              </w:rPr>
              <w:t>esponse</w:t>
            </w:r>
          </w:p>
        </w:tc>
        <w:tc>
          <w:tcPr>
            <w:tcW w:w="7938" w:type="dxa"/>
          </w:tcPr>
          <w:p w14:paraId="174DBCBD" w14:textId="77777777" w:rsidR="00686FD8" w:rsidRPr="000813B9" w:rsidRDefault="00686FD8" w:rsidP="00686FD8">
            <w:pPr>
              <w:pStyle w:val="DHWHanging1"/>
              <w:ind w:left="0" w:firstLine="0"/>
            </w:pPr>
            <w:r>
              <w:t xml:space="preserve">Chemical spill clean-up shall not be attempted if lab personnel do not have proper training and experience, necessary spill kit supplies, and/or appropriate personal protective equipment. </w:t>
            </w:r>
            <w:r>
              <w:rPr>
                <w:b/>
                <w:bCs/>
              </w:rPr>
              <w:t xml:space="preserve">Before starting work, review the </w:t>
            </w:r>
            <w:hyperlink r:id="rId30" w:history="1">
              <w:r w:rsidRPr="000813B9">
                <w:rPr>
                  <w:rStyle w:val="Hyperlink"/>
                  <w:b/>
                  <w:bCs/>
                  <w:iCs/>
                  <w:szCs w:val="28"/>
                </w:rPr>
                <w:t>Spill Response and Clean-Up</w:t>
              </w:r>
            </w:hyperlink>
            <w:r>
              <w:rPr>
                <w:b/>
                <w:bCs/>
              </w:rPr>
              <w:t xml:space="preserve"> web page and Section 10 of the </w:t>
            </w:r>
            <w:hyperlink r:id="rId31" w:history="1">
              <w:r w:rsidRPr="000813B9">
                <w:rPr>
                  <w:rStyle w:val="Hyperlink"/>
                  <w:b/>
                  <w:bCs/>
                  <w:iCs/>
                  <w:szCs w:val="28"/>
                </w:rPr>
                <w:t>CHP</w:t>
              </w:r>
            </w:hyperlink>
            <w:r w:rsidRPr="000813B9">
              <w:rPr>
                <w:b/>
                <w:bCs/>
                <w:sz w:val="22"/>
              </w:rPr>
              <w:t xml:space="preserve">. </w:t>
            </w:r>
            <w:r>
              <w:rPr>
                <w:b/>
                <w:bCs/>
              </w:rPr>
              <w:t>All personnel operating under this SOP shall familiarize themselves with this information and shall re-review these references at least annually.</w:t>
            </w:r>
          </w:p>
          <w:p w14:paraId="1C4E4D0B" w14:textId="77777777" w:rsidR="00686FD8" w:rsidRDefault="00686FD8" w:rsidP="00686FD8">
            <w:pPr>
              <w:pStyle w:val="DHWIndent1"/>
              <w:ind w:left="0"/>
              <w:rPr>
                <w:color w:val="000000"/>
              </w:rPr>
            </w:pPr>
            <w:r>
              <w:t xml:space="preserve">Refer to the EH&amp;S </w:t>
            </w:r>
            <w:hyperlink r:id="rId32"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14:paraId="0EC5E911" w14:textId="77777777" w:rsidR="00D479DF" w:rsidRDefault="00686FD8" w:rsidP="00686FD8">
            <w:pPr>
              <w:pStyle w:val="DHWIndent1"/>
              <w:ind w:left="0"/>
            </w:pPr>
            <w:r w:rsidRPr="006C1AEC">
              <w:rPr>
                <w:b/>
                <w:color w:val="FF0000"/>
              </w:rPr>
              <w:t>Call DPS for all spills, even if they get cleaned up by lab personnel.</w:t>
            </w:r>
            <w:r w:rsidRPr="006C1AEC">
              <w:rPr>
                <w:b/>
              </w:rPr>
              <w:t xml:space="preserve"> </w:t>
            </w:r>
            <w:r w:rsidRPr="006C1AEC">
              <w:t xml:space="preserve">DPS </w:t>
            </w:r>
            <w:r>
              <w:t xml:space="preserve">will pass information to the EH&amp;S and Hazmat on-call system. If needed, trained staff will be sent to the lab to clean and decontaminate the spill. </w:t>
            </w:r>
          </w:p>
          <w:p w14:paraId="02EE632F" w14:textId="48D42CC2" w:rsidR="00686FD8" w:rsidRDefault="00686FD8" w:rsidP="00686FD8">
            <w:pPr>
              <w:pStyle w:val="DHWIndent1"/>
              <w:ind w:left="0"/>
            </w:pPr>
            <w:r>
              <w:lastRenderedPageBreak/>
              <w:t>If lab personnel clean the spill themselves, notification should still be made as lab safety specialists may wish to follow up with a routine safety investigation.</w:t>
            </w:r>
          </w:p>
          <w:p w14:paraId="6BE87CED" w14:textId="0A73E080" w:rsidR="00686FD8" w:rsidRDefault="00686FD8" w:rsidP="00686FD8">
            <w:pPr>
              <w:pStyle w:val="DHWHanging1"/>
              <w:ind w:left="0" w:firstLine="0"/>
            </w:pPr>
            <w:r w:rsidRPr="00914C40">
              <w:rPr>
                <w:b/>
                <w:bCs/>
                <w:color w:val="FF0000"/>
              </w:rPr>
              <w:t>Major spills outside a fume hood</w:t>
            </w:r>
            <w:r>
              <w:rPr>
                <w:b/>
                <w:bCs/>
                <w:color w:val="FF0000"/>
              </w:rPr>
              <w:t xml:space="preserve"> </w:t>
            </w:r>
            <w:r w:rsidRPr="001E2662">
              <w:rPr>
                <w:b/>
                <w:color w:val="FF0000"/>
              </w:rPr>
              <w:t>SHALL NOT be cleaned by lab personnel. Evacuate the area, restrict access, call DPS.</w:t>
            </w:r>
          </w:p>
        </w:tc>
      </w:tr>
      <w:tr w:rsidR="00D352C2" w:rsidRPr="002E2B56" w14:paraId="56E32B21" w14:textId="77777777" w:rsidTr="00276AB3">
        <w:tc>
          <w:tcPr>
            <w:tcW w:w="3078" w:type="dxa"/>
          </w:tcPr>
          <w:p w14:paraId="582D2F68" w14:textId="7BDB82FA" w:rsidR="00D352C2" w:rsidRPr="001804E0" w:rsidRDefault="00D352C2" w:rsidP="00263D0D">
            <w:pPr>
              <w:rPr>
                <w:b/>
                <w:bCs/>
              </w:rPr>
            </w:pPr>
            <w:r w:rsidRPr="00090FE2">
              <w:rPr>
                <w:b/>
                <w:bCs/>
              </w:rPr>
              <w:lastRenderedPageBreak/>
              <w:t xml:space="preserve">Emergency </w:t>
            </w:r>
            <w:r>
              <w:rPr>
                <w:b/>
                <w:bCs/>
              </w:rPr>
              <w:t>R</w:t>
            </w:r>
            <w:r w:rsidRPr="00090FE2">
              <w:rPr>
                <w:b/>
                <w:bCs/>
              </w:rPr>
              <w:t>esponse</w:t>
            </w:r>
          </w:p>
        </w:tc>
        <w:tc>
          <w:tcPr>
            <w:tcW w:w="7938" w:type="dxa"/>
          </w:tcPr>
          <w:p w14:paraId="5AC8BB1A" w14:textId="77777777" w:rsidR="00D352C2" w:rsidRDefault="00D352C2" w:rsidP="00D352C2">
            <w:pPr>
              <w:pStyle w:val="DHWHanging1"/>
              <w:ind w:left="0" w:firstLine="0"/>
              <w:rPr>
                <w:b/>
              </w:rPr>
            </w:pPr>
            <w:r w:rsidRPr="00312C61">
              <w:rPr>
                <w:b/>
                <w:u w:val="single"/>
              </w:rPr>
              <w:t>Before</w:t>
            </w:r>
            <w:r w:rsidRPr="00312C61">
              <w:rPr>
                <w:b/>
              </w:rPr>
              <w:t xml:space="preserve"> starting work, </w:t>
            </w:r>
            <w:r>
              <w:rPr>
                <w:b/>
              </w:rPr>
              <w:t xml:space="preserve">review the </w:t>
            </w:r>
            <w:hyperlink r:id="rId33"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34"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61BEB95F" w14:textId="77777777" w:rsidR="00D352C2" w:rsidRDefault="00D352C2" w:rsidP="00D352C2">
            <w:pPr>
              <w:rPr>
                <w:rFonts w:ascii="Gill Sans MT" w:hAnsi="Gill Sans MT"/>
              </w:rPr>
            </w:pPr>
            <w:r w:rsidRPr="00D6255D">
              <w:rPr>
                <w:rFonts w:ascii="Gill Sans MT" w:hAnsi="Gill Sans MT"/>
                <w:b/>
              </w:rPr>
              <w:t xml:space="preserve">All personnel operating under this SOP shall have downloaded and read Section 10 of the </w:t>
            </w:r>
            <w:hyperlink r:id="rId35"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6CDA650C" w14:textId="77777777" w:rsidR="00D352C2" w:rsidRDefault="00D352C2" w:rsidP="00D352C2">
            <w:pPr>
              <w:rPr>
                <w:rFonts w:ascii="Gill Sans MT" w:hAnsi="Gill Sans MT"/>
              </w:rPr>
            </w:pPr>
          </w:p>
          <w:p w14:paraId="11638103" w14:textId="77777777" w:rsidR="00D352C2" w:rsidRDefault="00D352C2" w:rsidP="00D352C2">
            <w:pPr>
              <w:rPr>
                <w:rFonts w:ascii="Gill Sans MT" w:hAnsi="Gill Sans MT"/>
                <w:b/>
                <w:color w:val="FF0000"/>
              </w:rPr>
            </w:pPr>
            <w:r w:rsidRPr="006261A7">
              <w:rPr>
                <w:rFonts w:ascii="Gill Sans MT" w:hAnsi="Gill Sans MT"/>
                <w:b/>
                <w:color w:val="FF0000"/>
              </w:rPr>
              <w:t>The 1-2-3 poster, CHP Section 10, and the EH&amp;S emergency webpage are hereby incorporated into this SOP by reference.</w:t>
            </w:r>
          </w:p>
          <w:p w14:paraId="3159091D" w14:textId="77777777" w:rsidR="00D352C2" w:rsidRPr="002544AA" w:rsidRDefault="00D352C2" w:rsidP="00D352C2"/>
          <w:p w14:paraId="3FBF59C7" w14:textId="77777777" w:rsidR="00D352C2" w:rsidRPr="00312C61" w:rsidRDefault="00D352C2" w:rsidP="00D352C2">
            <w:pPr>
              <w:pStyle w:val="DHWIndent1"/>
              <w:ind w:left="0"/>
              <w:rPr>
                <w:b/>
              </w:rPr>
            </w:pPr>
            <w:r w:rsidRPr="00312C61">
              <w:rPr>
                <w:b/>
              </w:rPr>
              <w:t xml:space="preserve">All personnel operating under this SOP shall have the DPS emergency number programed into their phone </w:t>
            </w:r>
            <w:r w:rsidRPr="00312C61">
              <w:t>(UPC 213-740-4321; HSC 323-442-1000).</w:t>
            </w:r>
          </w:p>
          <w:p w14:paraId="40037554" w14:textId="77777777" w:rsidR="00D352C2" w:rsidRDefault="00D352C2" w:rsidP="00D352C2">
            <w:pPr>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w:t>
            </w:r>
            <w:proofErr w:type="spellStart"/>
            <w:r w:rsidRPr="004C3453">
              <w:rPr>
                <w:rFonts w:ascii="Gill Sans MT" w:hAnsi="Gill Sans MT"/>
              </w:rPr>
              <w:t>rota</w:t>
            </w:r>
            <w:proofErr w:type="spellEnd"/>
            <w:r w:rsidRPr="004C3453">
              <w:rPr>
                <w:rFonts w:ascii="Gill Sans MT" w:hAnsi="Gill Sans MT"/>
              </w:rPr>
              <w:t xml:space="preserve">. </w:t>
            </w:r>
            <w:r w:rsidRPr="004C3453">
              <w:rPr>
                <w:rFonts w:ascii="Gill Sans MT" w:hAnsi="Gill Sans MT"/>
                <w:b/>
                <w:bCs/>
                <w:color w:val="FF0000"/>
              </w:rPr>
              <w:t>Do NOT call the EH&amp;S general phone line or individual EH&amp;S personnel in an emergency as access is not guaranteed.</w:t>
            </w:r>
          </w:p>
          <w:p w14:paraId="58808E62" w14:textId="45BB5D9F" w:rsidR="00D352C2" w:rsidRPr="00D352C2" w:rsidRDefault="00D352C2" w:rsidP="00D352C2">
            <w:pPr>
              <w:rPr>
                <w:rFonts w:ascii="Gill Sans MT" w:hAnsi="Gill Sans MT"/>
                <w:b/>
                <w:bCs/>
                <w:color w:val="FF0000"/>
              </w:rPr>
            </w:pPr>
          </w:p>
        </w:tc>
      </w:tr>
    </w:tbl>
    <w:p w14:paraId="19213716" w14:textId="77777777" w:rsidR="002544AA" w:rsidRPr="002544AA" w:rsidRDefault="002544AA" w:rsidP="002544AA"/>
    <w:p w14:paraId="4011F5E6" w14:textId="6AD1C96D" w:rsidR="00DE5B74" w:rsidRDefault="00DE5B74" w:rsidP="002544AA"/>
    <w:p w14:paraId="0D29594E" w14:textId="77777777" w:rsidR="00DE5B74" w:rsidRDefault="00DE5B74">
      <w:pPr>
        <w:widowControl/>
        <w:autoSpaceDE/>
        <w:autoSpaceDN/>
        <w:adjustRightInd/>
      </w:pPr>
      <w:r>
        <w:br w:type="page"/>
      </w:r>
    </w:p>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E36FDF">
      <w:pPr>
        <w:pStyle w:val="DHWCondensedParagraph"/>
        <w:numPr>
          <w:ilvl w:val="0"/>
          <w:numId w:val="2"/>
        </w:numPr>
      </w:pPr>
      <w:r w:rsidRPr="00F06332">
        <w:t>Have read, understood, have access to, and agree to abide by this SOP, AND;</w:t>
      </w:r>
    </w:p>
    <w:p w14:paraId="17EFAC9A" w14:textId="77777777" w:rsidR="003C484F" w:rsidRDefault="003C484F" w:rsidP="00E36FDF">
      <w:pPr>
        <w:pStyle w:val="DHWCondensedParagraph"/>
        <w:numPr>
          <w:ilvl w:val="0"/>
          <w:numId w:val="2"/>
        </w:numPr>
      </w:pPr>
      <w:r>
        <w:t>Have read and understood the emergency response resources incorporated into this SOP by reference (“</w:t>
      </w:r>
      <w:hyperlink r:id="rId36" w:history="1">
        <w:r w:rsidRPr="003116F5">
          <w:rPr>
            <w:rStyle w:val="Hyperlink"/>
            <w:b/>
          </w:rPr>
          <w:t>1-2-3 poster</w:t>
        </w:r>
      </w:hyperlink>
      <w:r>
        <w:t xml:space="preserve">”, </w:t>
      </w:r>
      <w:hyperlink r:id="rId37"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38" w:history="1">
        <w:r w:rsidRPr="003116F5">
          <w:rPr>
            <w:rStyle w:val="Hyperlink"/>
            <w:b/>
          </w:rPr>
          <w:t>EH&amp;S emergency webpage</w:t>
        </w:r>
      </w:hyperlink>
      <w:r>
        <w:t>), AND;</w:t>
      </w:r>
    </w:p>
    <w:p w14:paraId="60BD4405" w14:textId="77777777" w:rsidR="003C484F" w:rsidRPr="00F06332" w:rsidRDefault="003C484F" w:rsidP="00E36FDF">
      <w:pPr>
        <w:pStyle w:val="DHWCondensedParagraph"/>
        <w:numPr>
          <w:ilvl w:val="0"/>
          <w:numId w:val="2"/>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w:t>
      </w:r>
      <w:proofErr w:type="gramStart"/>
      <w:r w:rsidRPr="00C31F88">
        <w:t>e.g.</w:t>
      </w:r>
      <w:proofErr w:type="gramEnd"/>
      <w:r w:rsidRPr="00C31F88">
        <w:t xml:space="preserve">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 xml:space="preserve">Signature of trainer confirming the </w:t>
            </w:r>
            <w:proofErr w:type="gramStart"/>
            <w:r>
              <w:t>above named</w:t>
            </w:r>
            <w:proofErr w:type="gramEnd"/>
            <w:r>
              <w:t xml:space="preserve">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39"/>
      <w:footerReference w:type="default" r:id="rId40"/>
      <w:headerReference w:type="first" r:id="rId41"/>
      <w:footerReference w:type="first" r:id="rId42"/>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54AC" w14:textId="77777777" w:rsidR="00782074" w:rsidRDefault="00782074">
      <w:r>
        <w:separator/>
      </w:r>
    </w:p>
  </w:endnote>
  <w:endnote w:type="continuationSeparator" w:id="0">
    <w:p w14:paraId="0568605D" w14:textId="77777777" w:rsidR="00782074" w:rsidRDefault="0078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25A700E4" w14:textId="77777777" w:rsidR="00EC3E6D"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w:t>
          </w:r>
        </w:p>
        <w:p w14:paraId="50563A91" w14:textId="01648097" w:rsidR="00C94858" w:rsidRPr="00601AFA" w:rsidRDefault="00AE33D0" w:rsidP="00EC3E6D">
          <w:pPr>
            <w:pStyle w:val="Footer"/>
            <w:tabs>
              <w:tab w:val="clear" w:pos="8640"/>
            </w:tabs>
            <w:ind w:right="-720"/>
            <w:rPr>
              <w:rFonts w:ascii="National Regular" w:hAnsi="National Regular"/>
              <w:sz w:val="18"/>
            </w:rPr>
          </w:pPr>
          <w:r>
            <w:rPr>
              <w:rFonts w:ascii="National Regular" w:hAnsi="National Regular"/>
              <w:sz w:val="18"/>
            </w:rPr>
            <w:t>C</w:t>
          </w:r>
          <w:r w:rsidR="00035C20">
            <w:rPr>
              <w:rFonts w:ascii="National Regular" w:hAnsi="National Regular"/>
              <w:sz w:val="18"/>
            </w:rPr>
            <w:t>orrosives</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624E62"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485997C2"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691661">
            <w:rPr>
              <w:rFonts w:ascii="National Regular" w:hAnsi="National Regular"/>
              <w:sz w:val="18"/>
            </w:rPr>
            <w:t>4</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5750"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Month" w:val="4"/>
        <w:attr w:name="Day" w:val="26"/>
        <w:attr w:name="Year" w:val="200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4F26" w14:textId="77777777" w:rsidR="00782074" w:rsidRDefault="00782074">
      <w:r>
        <w:separator/>
      </w:r>
    </w:p>
  </w:footnote>
  <w:footnote w:type="continuationSeparator" w:id="0">
    <w:p w14:paraId="4989EB38" w14:textId="77777777" w:rsidR="00782074" w:rsidRDefault="0078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089502C" w14:textId="27C3DB75" w:rsidR="00601AFA" w:rsidRPr="00601AFA" w:rsidRDefault="00497C5A" w:rsidP="00497C5A">
          <w:pPr>
            <w:ind w:right="-720"/>
            <w:rPr>
              <w:rFonts w:ascii="Adobe Caslon Pro" w:hAnsi="Adobe Caslon Pro" w:cs="Adobe Caslon Pro"/>
              <w:smallCaps/>
              <w:color w:val="FFFFFF" w:themeColor="background1"/>
              <w:sz w:val="40"/>
              <w:szCs w:val="32"/>
            </w:rPr>
          </w:pPr>
          <w:r w:rsidRPr="00D20382">
            <w:rPr>
              <w:rFonts w:cs="Adobe Caslon Pro"/>
              <w:b/>
              <w:smallCaps/>
              <w:color w:val="FFFFFF" w:themeColor="background1"/>
              <w:sz w:val="32"/>
            </w:rPr>
            <w:t>Haz</w:t>
          </w:r>
          <w:r w:rsidR="00A15F09" w:rsidRPr="00D20382">
            <w:rPr>
              <w:rFonts w:cs="Adobe Caslon Pro"/>
              <w:b/>
              <w:smallCaps/>
              <w:color w:val="FFFFFF" w:themeColor="background1"/>
              <w:sz w:val="32"/>
            </w:rPr>
            <w:t xml:space="preserve">ardous </w:t>
          </w:r>
          <w:r w:rsidRPr="00D20382">
            <w:rPr>
              <w:rFonts w:cs="Adobe Caslon Pro"/>
              <w:b/>
              <w:smallCaps/>
              <w:color w:val="FFFFFF" w:themeColor="background1"/>
              <w:sz w:val="32"/>
            </w:rPr>
            <w:t>Mat</w:t>
          </w:r>
          <w:r w:rsidR="00A15F09" w:rsidRPr="00D20382">
            <w:rPr>
              <w:rFonts w:cs="Adobe Caslon Pro"/>
              <w:b/>
              <w:smallCaps/>
              <w:color w:val="FFFFFF" w:themeColor="background1"/>
              <w:sz w:val="32"/>
            </w:rPr>
            <w:t>erials</w:t>
          </w:r>
          <w:r w:rsidRPr="00D20382">
            <w:rPr>
              <w:rFonts w:cs="Adobe Caslon Pro"/>
              <w:b/>
              <w:smallCaps/>
              <w:color w:val="FFFFFF" w:themeColor="background1"/>
              <w:sz w:val="32"/>
            </w:rPr>
            <w:t xml:space="preserve"> SOP Template: </w:t>
          </w:r>
          <w:r w:rsidR="00AE33D0">
            <w:rPr>
              <w:rFonts w:cs="Adobe Caslon Pro"/>
              <w:b/>
              <w:i/>
              <w:iCs/>
              <w:smallCaps/>
              <w:color w:val="FFFFFF" w:themeColor="background1"/>
              <w:sz w:val="36"/>
              <w:szCs w:val="28"/>
            </w:rPr>
            <w:t>C</w:t>
          </w:r>
          <w:r w:rsidR="00035C20">
            <w:rPr>
              <w:rFonts w:cs="Adobe Caslon Pro"/>
              <w:b/>
              <w:i/>
              <w:iCs/>
              <w:smallCaps/>
              <w:color w:val="FFFFFF" w:themeColor="background1"/>
              <w:sz w:val="36"/>
              <w:szCs w:val="28"/>
            </w:rPr>
            <w:t>orrosive</w:t>
          </w:r>
          <w:r w:rsidR="00AE33D0">
            <w:rPr>
              <w:rFonts w:cs="Adobe Caslon Pro"/>
              <w:b/>
              <w:i/>
              <w:iCs/>
              <w:smallCaps/>
              <w:color w:val="FFFFFF" w:themeColor="background1"/>
              <w:sz w:val="36"/>
              <w:szCs w:val="28"/>
            </w:rPr>
            <w:t>s</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9FCF"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88A799A"/>
    <w:multiLevelType w:val="hybridMultilevel"/>
    <w:tmpl w:val="837CBF1C"/>
    <w:lvl w:ilvl="0" w:tplc="6E1EDE44">
      <w:start w:val="1"/>
      <w:numFmt w:val="decimal"/>
      <w:pStyle w:val="DHWIndent11numbered"/>
      <w:lvlText w:val="%1."/>
      <w:lvlJc w:val="left"/>
      <w:pPr>
        <w:ind w:left="4043" w:hanging="357"/>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3"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F7050"/>
    <w:multiLevelType w:val="hybridMultilevel"/>
    <w:tmpl w:val="E0B4169A"/>
    <w:lvl w:ilvl="0" w:tplc="4FE20FF8">
      <w:start w:val="1"/>
      <w:numFmt w:val="bullet"/>
      <w:pStyle w:val="DHWIndent11bullet"/>
      <w:lvlText w:val=""/>
      <w:lvlJc w:val="left"/>
      <w:pPr>
        <w:ind w:left="4406" w:hanging="360"/>
      </w:pPr>
      <w:rPr>
        <w:rFonts w:ascii="Symbol" w:hAnsi="Symbol" w:hint="default"/>
      </w:rPr>
    </w:lvl>
    <w:lvl w:ilvl="1" w:tplc="04090003">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5" w15:restartNumberingAfterBreak="0">
    <w:nsid w:val="3D967063"/>
    <w:multiLevelType w:val="hybridMultilevel"/>
    <w:tmpl w:val="A270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015E"/>
    <w:multiLevelType w:val="hybridMultilevel"/>
    <w:tmpl w:val="5662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F01B8"/>
    <w:multiLevelType w:val="hybridMultilevel"/>
    <w:tmpl w:val="1FF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F129B"/>
    <w:multiLevelType w:val="hybridMultilevel"/>
    <w:tmpl w:val="D682CDB8"/>
    <w:lvl w:ilvl="0" w:tplc="04090001">
      <w:start w:val="1"/>
      <w:numFmt w:val="bullet"/>
      <w:pStyle w:val="DHWIndent12bulletreduced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C4A18"/>
    <w:multiLevelType w:val="hybridMultilevel"/>
    <w:tmpl w:val="6E6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350EC"/>
    <w:multiLevelType w:val="hybridMultilevel"/>
    <w:tmpl w:val="7E1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03899"/>
    <w:multiLevelType w:val="hybridMultilevel"/>
    <w:tmpl w:val="1D0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2"/>
  </w:num>
  <w:num w:numId="6">
    <w:abstractNumId w:val="5"/>
  </w:num>
  <w:num w:numId="7">
    <w:abstractNumId w:val="11"/>
  </w:num>
  <w:num w:numId="8">
    <w:abstractNumId w:val="6"/>
  </w:num>
  <w:num w:numId="9">
    <w:abstractNumId w:val="2"/>
    <w:lvlOverride w:ilvl="0">
      <w:startOverride w:val="1"/>
    </w:lvlOverride>
  </w:num>
  <w:num w:numId="10">
    <w:abstractNumId w:val="10"/>
  </w:num>
  <w:num w:numId="11">
    <w:abstractNumId w:val="7"/>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2236"/>
    <w:rsid w:val="00004A29"/>
    <w:rsid w:val="00004A3D"/>
    <w:rsid w:val="00007696"/>
    <w:rsid w:val="00015776"/>
    <w:rsid w:val="00015B56"/>
    <w:rsid w:val="00017C3F"/>
    <w:rsid w:val="0002005F"/>
    <w:rsid w:val="00031895"/>
    <w:rsid w:val="00035C20"/>
    <w:rsid w:val="00043158"/>
    <w:rsid w:val="00043CD4"/>
    <w:rsid w:val="00045061"/>
    <w:rsid w:val="000535F2"/>
    <w:rsid w:val="00061333"/>
    <w:rsid w:val="000628C6"/>
    <w:rsid w:val="000661D5"/>
    <w:rsid w:val="00066C8A"/>
    <w:rsid w:val="00070F08"/>
    <w:rsid w:val="000725FA"/>
    <w:rsid w:val="000730FE"/>
    <w:rsid w:val="00074F9F"/>
    <w:rsid w:val="00077853"/>
    <w:rsid w:val="00085A58"/>
    <w:rsid w:val="0008618C"/>
    <w:rsid w:val="00090FE2"/>
    <w:rsid w:val="0009677A"/>
    <w:rsid w:val="000A3C27"/>
    <w:rsid w:val="000A6A54"/>
    <w:rsid w:val="000B02DC"/>
    <w:rsid w:val="000B4229"/>
    <w:rsid w:val="000B50A9"/>
    <w:rsid w:val="000C07D3"/>
    <w:rsid w:val="000C121E"/>
    <w:rsid w:val="000C7AF4"/>
    <w:rsid w:val="000C7C09"/>
    <w:rsid w:val="000C7CE2"/>
    <w:rsid w:val="000D5DEF"/>
    <w:rsid w:val="000D76AF"/>
    <w:rsid w:val="000E58AA"/>
    <w:rsid w:val="000F5F9F"/>
    <w:rsid w:val="000F6029"/>
    <w:rsid w:val="000F6F37"/>
    <w:rsid w:val="00105A30"/>
    <w:rsid w:val="0011223A"/>
    <w:rsid w:val="00113317"/>
    <w:rsid w:val="00122F30"/>
    <w:rsid w:val="00123EA7"/>
    <w:rsid w:val="00131259"/>
    <w:rsid w:val="001410CD"/>
    <w:rsid w:val="00151919"/>
    <w:rsid w:val="00152C7A"/>
    <w:rsid w:val="00155D48"/>
    <w:rsid w:val="00155EE5"/>
    <w:rsid w:val="00156E41"/>
    <w:rsid w:val="00156E48"/>
    <w:rsid w:val="00157596"/>
    <w:rsid w:val="00157913"/>
    <w:rsid w:val="00161372"/>
    <w:rsid w:val="00164C02"/>
    <w:rsid w:val="00170F33"/>
    <w:rsid w:val="001767F3"/>
    <w:rsid w:val="001804E0"/>
    <w:rsid w:val="00182CD0"/>
    <w:rsid w:val="001830F3"/>
    <w:rsid w:val="0018403D"/>
    <w:rsid w:val="001857C5"/>
    <w:rsid w:val="001865CA"/>
    <w:rsid w:val="00191CCE"/>
    <w:rsid w:val="001934D1"/>
    <w:rsid w:val="001947F1"/>
    <w:rsid w:val="001A73F0"/>
    <w:rsid w:val="001A7E91"/>
    <w:rsid w:val="001B38CD"/>
    <w:rsid w:val="001B6507"/>
    <w:rsid w:val="001C0D23"/>
    <w:rsid w:val="001C3338"/>
    <w:rsid w:val="001C5AAB"/>
    <w:rsid w:val="001C6600"/>
    <w:rsid w:val="001D567E"/>
    <w:rsid w:val="001E1A3F"/>
    <w:rsid w:val="001E4A1C"/>
    <w:rsid w:val="001E6F7F"/>
    <w:rsid w:val="001F1D72"/>
    <w:rsid w:val="00201225"/>
    <w:rsid w:val="002020BB"/>
    <w:rsid w:val="00214866"/>
    <w:rsid w:val="002210A4"/>
    <w:rsid w:val="00221EF8"/>
    <w:rsid w:val="00224B0A"/>
    <w:rsid w:val="00234A6A"/>
    <w:rsid w:val="00235C01"/>
    <w:rsid w:val="0023779C"/>
    <w:rsid w:val="00237BBB"/>
    <w:rsid w:val="00237D60"/>
    <w:rsid w:val="00237E25"/>
    <w:rsid w:val="00237ED1"/>
    <w:rsid w:val="00240BC9"/>
    <w:rsid w:val="00241E80"/>
    <w:rsid w:val="00247A6F"/>
    <w:rsid w:val="002544AA"/>
    <w:rsid w:val="00254832"/>
    <w:rsid w:val="002564D0"/>
    <w:rsid w:val="00260EC6"/>
    <w:rsid w:val="00263D0D"/>
    <w:rsid w:val="002716FC"/>
    <w:rsid w:val="00276AB3"/>
    <w:rsid w:val="00277E24"/>
    <w:rsid w:val="00283064"/>
    <w:rsid w:val="002830E6"/>
    <w:rsid w:val="002832F1"/>
    <w:rsid w:val="00285E90"/>
    <w:rsid w:val="002936B0"/>
    <w:rsid w:val="0029777E"/>
    <w:rsid w:val="002A6968"/>
    <w:rsid w:val="002B2CD9"/>
    <w:rsid w:val="002B3AFC"/>
    <w:rsid w:val="002B41C5"/>
    <w:rsid w:val="002B6077"/>
    <w:rsid w:val="002C3F89"/>
    <w:rsid w:val="002C46FC"/>
    <w:rsid w:val="002E2B56"/>
    <w:rsid w:val="002E6228"/>
    <w:rsid w:val="002F152C"/>
    <w:rsid w:val="002F4CAB"/>
    <w:rsid w:val="0032550C"/>
    <w:rsid w:val="00332020"/>
    <w:rsid w:val="00332B7A"/>
    <w:rsid w:val="003400F1"/>
    <w:rsid w:val="003464C0"/>
    <w:rsid w:val="003501B3"/>
    <w:rsid w:val="00352EB1"/>
    <w:rsid w:val="00355E3F"/>
    <w:rsid w:val="00360B4E"/>
    <w:rsid w:val="0036494F"/>
    <w:rsid w:val="00365C1D"/>
    <w:rsid w:val="003718B6"/>
    <w:rsid w:val="00375312"/>
    <w:rsid w:val="00381CD5"/>
    <w:rsid w:val="00394027"/>
    <w:rsid w:val="00394EC6"/>
    <w:rsid w:val="003A70D6"/>
    <w:rsid w:val="003B54C7"/>
    <w:rsid w:val="003B7C9E"/>
    <w:rsid w:val="003C1676"/>
    <w:rsid w:val="003C484F"/>
    <w:rsid w:val="003C7CC3"/>
    <w:rsid w:val="003D134F"/>
    <w:rsid w:val="003E064A"/>
    <w:rsid w:val="003E49C9"/>
    <w:rsid w:val="003E6EE7"/>
    <w:rsid w:val="003E7155"/>
    <w:rsid w:val="003F2991"/>
    <w:rsid w:val="003F5301"/>
    <w:rsid w:val="003F7428"/>
    <w:rsid w:val="004002A4"/>
    <w:rsid w:val="0040059A"/>
    <w:rsid w:val="0040391D"/>
    <w:rsid w:val="00407CDB"/>
    <w:rsid w:val="00413D92"/>
    <w:rsid w:val="00416712"/>
    <w:rsid w:val="00417710"/>
    <w:rsid w:val="00417E48"/>
    <w:rsid w:val="00417FA5"/>
    <w:rsid w:val="0042033F"/>
    <w:rsid w:val="004211D9"/>
    <w:rsid w:val="0043040E"/>
    <w:rsid w:val="00434025"/>
    <w:rsid w:val="00435B10"/>
    <w:rsid w:val="00441852"/>
    <w:rsid w:val="00441DF8"/>
    <w:rsid w:val="00451115"/>
    <w:rsid w:val="004521AC"/>
    <w:rsid w:val="00452A33"/>
    <w:rsid w:val="00452DC6"/>
    <w:rsid w:val="00460B58"/>
    <w:rsid w:val="00461156"/>
    <w:rsid w:val="0046514E"/>
    <w:rsid w:val="0046557D"/>
    <w:rsid w:val="00465E64"/>
    <w:rsid w:val="00482484"/>
    <w:rsid w:val="00484F6D"/>
    <w:rsid w:val="00485FAA"/>
    <w:rsid w:val="00497C5A"/>
    <w:rsid w:val="004A08B2"/>
    <w:rsid w:val="004A5DFC"/>
    <w:rsid w:val="004B11BE"/>
    <w:rsid w:val="004B3FE5"/>
    <w:rsid w:val="004C3453"/>
    <w:rsid w:val="004C563B"/>
    <w:rsid w:val="004C593C"/>
    <w:rsid w:val="004C689F"/>
    <w:rsid w:val="004D396E"/>
    <w:rsid w:val="004D750B"/>
    <w:rsid w:val="004E1FD7"/>
    <w:rsid w:val="004E2B2F"/>
    <w:rsid w:val="004E33AF"/>
    <w:rsid w:val="004E7AD4"/>
    <w:rsid w:val="004F47E2"/>
    <w:rsid w:val="004F53CF"/>
    <w:rsid w:val="00503058"/>
    <w:rsid w:val="005044C9"/>
    <w:rsid w:val="00533BC4"/>
    <w:rsid w:val="00535257"/>
    <w:rsid w:val="0054203C"/>
    <w:rsid w:val="005442DC"/>
    <w:rsid w:val="00545441"/>
    <w:rsid w:val="005459C5"/>
    <w:rsid w:val="00554C78"/>
    <w:rsid w:val="00565DD2"/>
    <w:rsid w:val="005714A2"/>
    <w:rsid w:val="00575560"/>
    <w:rsid w:val="005768D8"/>
    <w:rsid w:val="00580225"/>
    <w:rsid w:val="00581081"/>
    <w:rsid w:val="005815F3"/>
    <w:rsid w:val="00583551"/>
    <w:rsid w:val="00584136"/>
    <w:rsid w:val="00584A56"/>
    <w:rsid w:val="005866BB"/>
    <w:rsid w:val="00591C70"/>
    <w:rsid w:val="00591D4B"/>
    <w:rsid w:val="0059253C"/>
    <w:rsid w:val="00594761"/>
    <w:rsid w:val="005962AA"/>
    <w:rsid w:val="005A3BA4"/>
    <w:rsid w:val="005A4456"/>
    <w:rsid w:val="005B602F"/>
    <w:rsid w:val="005B6DBA"/>
    <w:rsid w:val="005D06BC"/>
    <w:rsid w:val="005D2268"/>
    <w:rsid w:val="005D3F00"/>
    <w:rsid w:val="005E7C6D"/>
    <w:rsid w:val="005F1CD0"/>
    <w:rsid w:val="005F2D18"/>
    <w:rsid w:val="005F5EDF"/>
    <w:rsid w:val="005F66EA"/>
    <w:rsid w:val="005F7184"/>
    <w:rsid w:val="00601AFA"/>
    <w:rsid w:val="006025F9"/>
    <w:rsid w:val="00602871"/>
    <w:rsid w:val="0060520E"/>
    <w:rsid w:val="00606566"/>
    <w:rsid w:val="006113F3"/>
    <w:rsid w:val="0061174B"/>
    <w:rsid w:val="00624E62"/>
    <w:rsid w:val="00625091"/>
    <w:rsid w:val="00625B62"/>
    <w:rsid w:val="00625D2D"/>
    <w:rsid w:val="00625FCC"/>
    <w:rsid w:val="006261A7"/>
    <w:rsid w:val="00632E7E"/>
    <w:rsid w:val="00636DA8"/>
    <w:rsid w:val="006418C9"/>
    <w:rsid w:val="00645E4D"/>
    <w:rsid w:val="00654DED"/>
    <w:rsid w:val="006558CE"/>
    <w:rsid w:val="0066589B"/>
    <w:rsid w:val="00671273"/>
    <w:rsid w:val="00671715"/>
    <w:rsid w:val="00672872"/>
    <w:rsid w:val="00672CB6"/>
    <w:rsid w:val="00674E0B"/>
    <w:rsid w:val="006764C8"/>
    <w:rsid w:val="006822AF"/>
    <w:rsid w:val="00685328"/>
    <w:rsid w:val="0068689B"/>
    <w:rsid w:val="00686FD8"/>
    <w:rsid w:val="0069065D"/>
    <w:rsid w:val="00691661"/>
    <w:rsid w:val="00692E01"/>
    <w:rsid w:val="006A33DB"/>
    <w:rsid w:val="006A568B"/>
    <w:rsid w:val="006B1BD1"/>
    <w:rsid w:val="006B5F8D"/>
    <w:rsid w:val="006C63D7"/>
    <w:rsid w:val="006C66AE"/>
    <w:rsid w:val="006D0045"/>
    <w:rsid w:val="006D033B"/>
    <w:rsid w:val="006D30B3"/>
    <w:rsid w:val="006D57E7"/>
    <w:rsid w:val="006D7F12"/>
    <w:rsid w:val="006E16DE"/>
    <w:rsid w:val="006E1E69"/>
    <w:rsid w:val="006E7AAF"/>
    <w:rsid w:val="006F4E70"/>
    <w:rsid w:val="006F674E"/>
    <w:rsid w:val="006F7761"/>
    <w:rsid w:val="007012B9"/>
    <w:rsid w:val="0070594D"/>
    <w:rsid w:val="0071618F"/>
    <w:rsid w:val="00717B71"/>
    <w:rsid w:val="007201E5"/>
    <w:rsid w:val="00725C57"/>
    <w:rsid w:val="00725D54"/>
    <w:rsid w:val="00726BA2"/>
    <w:rsid w:val="00727294"/>
    <w:rsid w:val="00730E1D"/>
    <w:rsid w:val="007315B0"/>
    <w:rsid w:val="00731CDB"/>
    <w:rsid w:val="007377A8"/>
    <w:rsid w:val="00744094"/>
    <w:rsid w:val="0074594A"/>
    <w:rsid w:val="00752397"/>
    <w:rsid w:val="00754692"/>
    <w:rsid w:val="00771575"/>
    <w:rsid w:val="00771D03"/>
    <w:rsid w:val="007735BD"/>
    <w:rsid w:val="00782074"/>
    <w:rsid w:val="00784465"/>
    <w:rsid w:val="00790382"/>
    <w:rsid w:val="007940BE"/>
    <w:rsid w:val="007962CB"/>
    <w:rsid w:val="007B01E5"/>
    <w:rsid w:val="007B0CFF"/>
    <w:rsid w:val="007C2042"/>
    <w:rsid w:val="007C2141"/>
    <w:rsid w:val="007E25BD"/>
    <w:rsid w:val="007E33A1"/>
    <w:rsid w:val="007F736D"/>
    <w:rsid w:val="00804C49"/>
    <w:rsid w:val="00804DA4"/>
    <w:rsid w:val="00810802"/>
    <w:rsid w:val="00811573"/>
    <w:rsid w:val="0081170A"/>
    <w:rsid w:val="0081322A"/>
    <w:rsid w:val="0081358D"/>
    <w:rsid w:val="008136D1"/>
    <w:rsid w:val="00824B1B"/>
    <w:rsid w:val="00832574"/>
    <w:rsid w:val="00833BD9"/>
    <w:rsid w:val="00837429"/>
    <w:rsid w:val="00841784"/>
    <w:rsid w:val="00847E26"/>
    <w:rsid w:val="008529D1"/>
    <w:rsid w:val="008553DA"/>
    <w:rsid w:val="00860176"/>
    <w:rsid w:val="00863F2B"/>
    <w:rsid w:val="00867BEA"/>
    <w:rsid w:val="008760AE"/>
    <w:rsid w:val="00876102"/>
    <w:rsid w:val="00876A0C"/>
    <w:rsid w:val="00883962"/>
    <w:rsid w:val="00892482"/>
    <w:rsid w:val="008A16D0"/>
    <w:rsid w:val="008A1830"/>
    <w:rsid w:val="008A24CB"/>
    <w:rsid w:val="008A6245"/>
    <w:rsid w:val="008B0327"/>
    <w:rsid w:val="008C0827"/>
    <w:rsid w:val="008C0CF5"/>
    <w:rsid w:val="008C10DE"/>
    <w:rsid w:val="008C41CB"/>
    <w:rsid w:val="008E199F"/>
    <w:rsid w:val="008E371F"/>
    <w:rsid w:val="008E714B"/>
    <w:rsid w:val="008F1302"/>
    <w:rsid w:val="008F6085"/>
    <w:rsid w:val="008F6349"/>
    <w:rsid w:val="0090376E"/>
    <w:rsid w:val="00904DAC"/>
    <w:rsid w:val="009057B7"/>
    <w:rsid w:val="00911D51"/>
    <w:rsid w:val="00914C40"/>
    <w:rsid w:val="00921B9E"/>
    <w:rsid w:val="00922243"/>
    <w:rsid w:val="00923FD0"/>
    <w:rsid w:val="009307C0"/>
    <w:rsid w:val="009349CA"/>
    <w:rsid w:val="00936BB5"/>
    <w:rsid w:val="00936CBA"/>
    <w:rsid w:val="00936DE1"/>
    <w:rsid w:val="0094380A"/>
    <w:rsid w:val="00943C24"/>
    <w:rsid w:val="00943FA1"/>
    <w:rsid w:val="00945149"/>
    <w:rsid w:val="00945F1E"/>
    <w:rsid w:val="009538DF"/>
    <w:rsid w:val="00955DAC"/>
    <w:rsid w:val="0097693D"/>
    <w:rsid w:val="00983C74"/>
    <w:rsid w:val="00985396"/>
    <w:rsid w:val="0098601B"/>
    <w:rsid w:val="00992529"/>
    <w:rsid w:val="00995931"/>
    <w:rsid w:val="009A0FF9"/>
    <w:rsid w:val="009A2BF2"/>
    <w:rsid w:val="009A65E1"/>
    <w:rsid w:val="009B401A"/>
    <w:rsid w:val="009B6F84"/>
    <w:rsid w:val="009C2869"/>
    <w:rsid w:val="009C3F9C"/>
    <w:rsid w:val="009C5968"/>
    <w:rsid w:val="009D397A"/>
    <w:rsid w:val="009D4835"/>
    <w:rsid w:val="009D6221"/>
    <w:rsid w:val="009D63AF"/>
    <w:rsid w:val="009F162F"/>
    <w:rsid w:val="009F2378"/>
    <w:rsid w:val="009F4693"/>
    <w:rsid w:val="00A0001F"/>
    <w:rsid w:val="00A02D7C"/>
    <w:rsid w:val="00A031AC"/>
    <w:rsid w:val="00A06A1A"/>
    <w:rsid w:val="00A078F0"/>
    <w:rsid w:val="00A1014F"/>
    <w:rsid w:val="00A15F09"/>
    <w:rsid w:val="00A17373"/>
    <w:rsid w:val="00A20358"/>
    <w:rsid w:val="00A22592"/>
    <w:rsid w:val="00A231D9"/>
    <w:rsid w:val="00A231F6"/>
    <w:rsid w:val="00A2666D"/>
    <w:rsid w:val="00A27D13"/>
    <w:rsid w:val="00A34257"/>
    <w:rsid w:val="00A3582F"/>
    <w:rsid w:val="00A41918"/>
    <w:rsid w:val="00A46330"/>
    <w:rsid w:val="00A47AD2"/>
    <w:rsid w:val="00A52E94"/>
    <w:rsid w:val="00A54514"/>
    <w:rsid w:val="00A60265"/>
    <w:rsid w:val="00A627B8"/>
    <w:rsid w:val="00A64E24"/>
    <w:rsid w:val="00A904D8"/>
    <w:rsid w:val="00A97095"/>
    <w:rsid w:val="00AA084D"/>
    <w:rsid w:val="00AA35E4"/>
    <w:rsid w:val="00AA7080"/>
    <w:rsid w:val="00AB3CB9"/>
    <w:rsid w:val="00AC102F"/>
    <w:rsid w:val="00AC51AF"/>
    <w:rsid w:val="00AC73CF"/>
    <w:rsid w:val="00AD1933"/>
    <w:rsid w:val="00AD28AA"/>
    <w:rsid w:val="00AD5678"/>
    <w:rsid w:val="00AE33D0"/>
    <w:rsid w:val="00AE3DB1"/>
    <w:rsid w:val="00AE6BDF"/>
    <w:rsid w:val="00AF041C"/>
    <w:rsid w:val="00AF2E45"/>
    <w:rsid w:val="00AF6450"/>
    <w:rsid w:val="00AF69C8"/>
    <w:rsid w:val="00B05F5F"/>
    <w:rsid w:val="00B15316"/>
    <w:rsid w:val="00B15E74"/>
    <w:rsid w:val="00B16849"/>
    <w:rsid w:val="00B172B1"/>
    <w:rsid w:val="00B21323"/>
    <w:rsid w:val="00B2264E"/>
    <w:rsid w:val="00B26F3D"/>
    <w:rsid w:val="00B27A65"/>
    <w:rsid w:val="00B31C3C"/>
    <w:rsid w:val="00B3679F"/>
    <w:rsid w:val="00B43FA7"/>
    <w:rsid w:val="00B44391"/>
    <w:rsid w:val="00B50A0D"/>
    <w:rsid w:val="00B660F2"/>
    <w:rsid w:val="00B66CBE"/>
    <w:rsid w:val="00B705C8"/>
    <w:rsid w:val="00B71335"/>
    <w:rsid w:val="00B8290F"/>
    <w:rsid w:val="00B83216"/>
    <w:rsid w:val="00B844E7"/>
    <w:rsid w:val="00B84E11"/>
    <w:rsid w:val="00B8746A"/>
    <w:rsid w:val="00B903C8"/>
    <w:rsid w:val="00B94858"/>
    <w:rsid w:val="00B95DE9"/>
    <w:rsid w:val="00BA465D"/>
    <w:rsid w:val="00BA69B0"/>
    <w:rsid w:val="00BB11AD"/>
    <w:rsid w:val="00BB770E"/>
    <w:rsid w:val="00BC07BD"/>
    <w:rsid w:val="00BC1647"/>
    <w:rsid w:val="00BC4FC0"/>
    <w:rsid w:val="00BC6130"/>
    <w:rsid w:val="00BD4FD0"/>
    <w:rsid w:val="00BD76DA"/>
    <w:rsid w:val="00BE0069"/>
    <w:rsid w:val="00BF4327"/>
    <w:rsid w:val="00BF49E4"/>
    <w:rsid w:val="00BF742E"/>
    <w:rsid w:val="00C00CD9"/>
    <w:rsid w:val="00C03870"/>
    <w:rsid w:val="00C04968"/>
    <w:rsid w:val="00C07205"/>
    <w:rsid w:val="00C100A9"/>
    <w:rsid w:val="00C15B32"/>
    <w:rsid w:val="00C172A9"/>
    <w:rsid w:val="00C2319A"/>
    <w:rsid w:val="00C233BA"/>
    <w:rsid w:val="00C2383D"/>
    <w:rsid w:val="00C27F4D"/>
    <w:rsid w:val="00C304F7"/>
    <w:rsid w:val="00C33E66"/>
    <w:rsid w:val="00C3403A"/>
    <w:rsid w:val="00C34DD4"/>
    <w:rsid w:val="00C4268F"/>
    <w:rsid w:val="00C44B08"/>
    <w:rsid w:val="00C470CF"/>
    <w:rsid w:val="00C51CBA"/>
    <w:rsid w:val="00C529D0"/>
    <w:rsid w:val="00C55C43"/>
    <w:rsid w:val="00C65CD5"/>
    <w:rsid w:val="00C706B1"/>
    <w:rsid w:val="00C769A8"/>
    <w:rsid w:val="00C905D5"/>
    <w:rsid w:val="00C90F61"/>
    <w:rsid w:val="00C9451B"/>
    <w:rsid w:val="00C94858"/>
    <w:rsid w:val="00CA4D6E"/>
    <w:rsid w:val="00CA6F73"/>
    <w:rsid w:val="00CB719D"/>
    <w:rsid w:val="00CC2443"/>
    <w:rsid w:val="00CC34EB"/>
    <w:rsid w:val="00CC52AB"/>
    <w:rsid w:val="00CC5EED"/>
    <w:rsid w:val="00CC72C4"/>
    <w:rsid w:val="00CD4E14"/>
    <w:rsid w:val="00CD67E6"/>
    <w:rsid w:val="00CE4951"/>
    <w:rsid w:val="00CE7588"/>
    <w:rsid w:val="00CF0858"/>
    <w:rsid w:val="00CF5BBF"/>
    <w:rsid w:val="00CF62E2"/>
    <w:rsid w:val="00CF6E3A"/>
    <w:rsid w:val="00D00028"/>
    <w:rsid w:val="00D069D5"/>
    <w:rsid w:val="00D12D42"/>
    <w:rsid w:val="00D13683"/>
    <w:rsid w:val="00D20382"/>
    <w:rsid w:val="00D2185A"/>
    <w:rsid w:val="00D25C13"/>
    <w:rsid w:val="00D27690"/>
    <w:rsid w:val="00D32826"/>
    <w:rsid w:val="00D352C2"/>
    <w:rsid w:val="00D35A7F"/>
    <w:rsid w:val="00D37F52"/>
    <w:rsid w:val="00D449EF"/>
    <w:rsid w:val="00D463C6"/>
    <w:rsid w:val="00D479DF"/>
    <w:rsid w:val="00D50C1D"/>
    <w:rsid w:val="00D562A2"/>
    <w:rsid w:val="00D56359"/>
    <w:rsid w:val="00D6255D"/>
    <w:rsid w:val="00D631C5"/>
    <w:rsid w:val="00D645E6"/>
    <w:rsid w:val="00D72750"/>
    <w:rsid w:val="00D82351"/>
    <w:rsid w:val="00D83E30"/>
    <w:rsid w:val="00D84452"/>
    <w:rsid w:val="00D95D84"/>
    <w:rsid w:val="00D96142"/>
    <w:rsid w:val="00DA0159"/>
    <w:rsid w:val="00DA4CAD"/>
    <w:rsid w:val="00DA5225"/>
    <w:rsid w:val="00DA5E04"/>
    <w:rsid w:val="00DB1E25"/>
    <w:rsid w:val="00DB30DF"/>
    <w:rsid w:val="00DB3AFF"/>
    <w:rsid w:val="00DB76DD"/>
    <w:rsid w:val="00DC1D00"/>
    <w:rsid w:val="00DE2E67"/>
    <w:rsid w:val="00DE39E7"/>
    <w:rsid w:val="00DE5B74"/>
    <w:rsid w:val="00DF17C9"/>
    <w:rsid w:val="00DF20A3"/>
    <w:rsid w:val="00DF5BE3"/>
    <w:rsid w:val="00E01E36"/>
    <w:rsid w:val="00E06235"/>
    <w:rsid w:val="00E1574A"/>
    <w:rsid w:val="00E241CF"/>
    <w:rsid w:val="00E26184"/>
    <w:rsid w:val="00E331B2"/>
    <w:rsid w:val="00E36FDF"/>
    <w:rsid w:val="00E37C4B"/>
    <w:rsid w:val="00E506B8"/>
    <w:rsid w:val="00E62C76"/>
    <w:rsid w:val="00E66FDB"/>
    <w:rsid w:val="00E74A2F"/>
    <w:rsid w:val="00E76F32"/>
    <w:rsid w:val="00E77E10"/>
    <w:rsid w:val="00E8310D"/>
    <w:rsid w:val="00E92F5D"/>
    <w:rsid w:val="00E93E5E"/>
    <w:rsid w:val="00EA023D"/>
    <w:rsid w:val="00EB1C24"/>
    <w:rsid w:val="00EB6A08"/>
    <w:rsid w:val="00EB7FE4"/>
    <w:rsid w:val="00EC2DEE"/>
    <w:rsid w:val="00EC3743"/>
    <w:rsid w:val="00EC3E6D"/>
    <w:rsid w:val="00ED24B1"/>
    <w:rsid w:val="00ED527E"/>
    <w:rsid w:val="00ED5ACC"/>
    <w:rsid w:val="00EE5F91"/>
    <w:rsid w:val="00EE65B5"/>
    <w:rsid w:val="00EF198E"/>
    <w:rsid w:val="00EF3335"/>
    <w:rsid w:val="00F00E36"/>
    <w:rsid w:val="00F043B6"/>
    <w:rsid w:val="00F05630"/>
    <w:rsid w:val="00F15F84"/>
    <w:rsid w:val="00F1650A"/>
    <w:rsid w:val="00F20B2D"/>
    <w:rsid w:val="00F211DC"/>
    <w:rsid w:val="00F22B36"/>
    <w:rsid w:val="00F25C01"/>
    <w:rsid w:val="00F26323"/>
    <w:rsid w:val="00F356EC"/>
    <w:rsid w:val="00F42824"/>
    <w:rsid w:val="00F46085"/>
    <w:rsid w:val="00F52F51"/>
    <w:rsid w:val="00F536FC"/>
    <w:rsid w:val="00F540C6"/>
    <w:rsid w:val="00F55942"/>
    <w:rsid w:val="00F62203"/>
    <w:rsid w:val="00F63491"/>
    <w:rsid w:val="00F67453"/>
    <w:rsid w:val="00F74033"/>
    <w:rsid w:val="00F8097B"/>
    <w:rsid w:val="00F87AF9"/>
    <w:rsid w:val="00F87F67"/>
    <w:rsid w:val="00F926B9"/>
    <w:rsid w:val="00FA11EE"/>
    <w:rsid w:val="00FA32C7"/>
    <w:rsid w:val="00FA409B"/>
    <w:rsid w:val="00FB0A2F"/>
    <w:rsid w:val="00FB3201"/>
    <w:rsid w:val="00FB40D6"/>
    <w:rsid w:val="00FB7463"/>
    <w:rsid w:val="00FC7444"/>
    <w:rsid w:val="00FD0263"/>
    <w:rsid w:val="00FD1F14"/>
    <w:rsid w:val="00FD26C7"/>
    <w:rsid w:val="00FD4C8A"/>
    <w:rsid w:val="00FD58D3"/>
    <w:rsid w:val="00FE74D3"/>
    <w:rsid w:val="00FF05F4"/>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semiHidden/>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semiHidden/>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 w:type="paragraph" w:customStyle="1" w:styleId="DHWIndent11bullet">
    <w:name w:val="DHW_Indent_1.1_bullet"/>
    <w:basedOn w:val="Normal"/>
    <w:qFormat/>
    <w:rsid w:val="00C233BA"/>
    <w:pPr>
      <w:widowControl/>
      <w:numPr>
        <w:numId w:val="4"/>
      </w:numPr>
      <w:tabs>
        <w:tab w:val="left" w:pos="6095"/>
      </w:tabs>
      <w:autoSpaceDE/>
      <w:autoSpaceDN/>
      <w:adjustRightInd/>
      <w:spacing w:after="240"/>
      <w:ind w:left="4043" w:hanging="357"/>
      <w:jc w:val="both"/>
    </w:pPr>
    <w:rPr>
      <w:rFonts w:ascii="Gill Sans MT" w:eastAsiaTheme="minorHAnsi" w:hAnsi="Gill Sans MT" w:cstheme="minorBidi"/>
    </w:rPr>
  </w:style>
  <w:style w:type="paragraph" w:customStyle="1" w:styleId="DHWIndent11bulletreducedspacing">
    <w:name w:val="DHW_Indent_1.1_bullet_reduced_spacing"/>
    <w:basedOn w:val="DHWIndent11bullet"/>
    <w:qFormat/>
    <w:rsid w:val="00C233BA"/>
    <w:pPr>
      <w:spacing w:after="80"/>
    </w:pPr>
  </w:style>
  <w:style w:type="paragraph" w:customStyle="1" w:styleId="DHWIndent11">
    <w:name w:val="DHW_Indent_1.1"/>
    <w:basedOn w:val="DHWIndent1"/>
    <w:qFormat/>
    <w:rsid w:val="00A231F6"/>
    <w:pPr>
      <w:ind w:left="3686"/>
    </w:pPr>
  </w:style>
  <w:style w:type="paragraph" w:customStyle="1" w:styleId="Style1">
    <w:name w:val="Style1"/>
    <w:basedOn w:val="Normal"/>
    <w:qFormat/>
    <w:rsid w:val="00A231F6"/>
    <w:pPr>
      <w:widowControl/>
      <w:tabs>
        <w:tab w:val="left" w:pos="6095"/>
      </w:tabs>
      <w:autoSpaceDE/>
      <w:autoSpaceDN/>
      <w:adjustRightInd/>
      <w:spacing w:after="80"/>
      <w:ind w:left="3686"/>
      <w:jc w:val="both"/>
    </w:pPr>
    <w:rPr>
      <w:rFonts w:ascii="Gill Sans MT" w:eastAsiaTheme="minorHAnsi" w:hAnsi="Gill Sans MT" w:cstheme="minorBidi"/>
    </w:rPr>
  </w:style>
  <w:style w:type="paragraph" w:customStyle="1" w:styleId="DHWIndent11reducedspacing">
    <w:name w:val="DHW_Indent_1.1__reduced_spacing"/>
    <w:basedOn w:val="DHWIndent11"/>
    <w:qFormat/>
    <w:rsid w:val="00632E7E"/>
    <w:pPr>
      <w:spacing w:after="120"/>
    </w:pPr>
  </w:style>
  <w:style w:type="paragraph" w:customStyle="1" w:styleId="DHWHanging2reducedspacing">
    <w:name w:val="DHW_Hanging_2_reduced_spacing"/>
    <w:basedOn w:val="Normal"/>
    <w:qFormat/>
    <w:rsid w:val="00632E7E"/>
    <w:pPr>
      <w:widowControl/>
      <w:tabs>
        <w:tab w:val="left" w:pos="3260"/>
        <w:tab w:val="left" w:pos="6095"/>
      </w:tabs>
      <w:autoSpaceDE/>
      <w:autoSpaceDN/>
      <w:adjustRightInd/>
      <w:spacing w:after="120"/>
      <w:ind w:left="6095" w:hanging="6095"/>
      <w:jc w:val="both"/>
    </w:pPr>
    <w:rPr>
      <w:rFonts w:ascii="Gill Sans MT" w:eastAsiaTheme="minorHAnsi" w:hAnsi="Gill Sans MT" w:cstheme="minorBidi"/>
    </w:rPr>
  </w:style>
  <w:style w:type="paragraph" w:customStyle="1" w:styleId="DHWIndent1reducedspacing">
    <w:name w:val="DHW_Indent_1_reduced_spacing"/>
    <w:basedOn w:val="DHWIndent1"/>
    <w:qFormat/>
    <w:rsid w:val="00632E7E"/>
    <w:pPr>
      <w:spacing w:after="120"/>
    </w:pPr>
  </w:style>
  <w:style w:type="paragraph" w:customStyle="1" w:styleId="DHWIndent11numbered">
    <w:name w:val="DHW_Indent_1.1_numbered"/>
    <w:basedOn w:val="DHWIndent11"/>
    <w:qFormat/>
    <w:rsid w:val="00CF62E2"/>
    <w:pPr>
      <w:numPr>
        <w:numId w:val="5"/>
      </w:numPr>
    </w:pPr>
  </w:style>
  <w:style w:type="paragraph" w:customStyle="1" w:styleId="DHWIndent11numberedreducedspacing">
    <w:name w:val="DHW_Indent_1.1_numbered_reduced_spacing"/>
    <w:basedOn w:val="DHWIndent11numbered"/>
    <w:qFormat/>
    <w:rsid w:val="00CF62E2"/>
    <w:pPr>
      <w:spacing w:after="80"/>
    </w:pPr>
  </w:style>
  <w:style w:type="paragraph" w:customStyle="1" w:styleId="DHWIndent12bulletreducedspacing">
    <w:name w:val="DHW_Indent_1.2_bullet_reduced_spacing"/>
    <w:basedOn w:val="DHWIndent11bulletreducedspacing"/>
    <w:qFormat/>
    <w:rsid w:val="00407CDB"/>
    <w:pPr>
      <w:numPr>
        <w:numId w:val="1"/>
      </w:numPr>
      <w:ind w:left="461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cc/usc-sop-training" TargetMode="External"/><Relationship Id="rId18" Type="http://schemas.openxmlformats.org/officeDocument/2006/relationships/hyperlink" Target="http://tiny.cc/usc-chm-lbl-sign" TargetMode="External"/><Relationship Id="rId26" Type="http://schemas.openxmlformats.org/officeDocument/2006/relationships/hyperlink" Target="http://tiny.cc/usc-hazmat" TargetMode="External"/><Relationship Id="rId39" Type="http://schemas.openxmlformats.org/officeDocument/2006/relationships/header" Target="header1.xml"/><Relationship Id="rId21" Type="http://schemas.openxmlformats.org/officeDocument/2006/relationships/hyperlink" Target="http://tiny.cc/chem-hygiene-plan" TargetMode="External"/><Relationship Id="rId34" Type="http://schemas.openxmlformats.org/officeDocument/2006/relationships/hyperlink" Target="https://tiny.cc/usc-123"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iny.cc/usc-unattended-operations" TargetMode="External"/><Relationship Id="rId20" Type="http://schemas.openxmlformats.org/officeDocument/2006/relationships/hyperlink" Target="https://tiny.cc/usc-ppe-standard" TargetMode="External"/><Relationship Id="rId29" Type="http://schemas.openxmlformats.org/officeDocument/2006/relationships/hyperlink" Target="mailto:hazmat@usc.ed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cc/usc-sop-instructions" TargetMode="External"/><Relationship Id="rId24" Type="http://schemas.openxmlformats.org/officeDocument/2006/relationships/hyperlink" Target="http://tiny.cc/chem-hygiene-plan" TargetMode="External"/><Relationship Id="rId32" Type="http://schemas.openxmlformats.org/officeDocument/2006/relationships/hyperlink" Target="https://tiny.cc/usc-ehs-chmSplkit-gs" TargetMode="External"/><Relationship Id="rId37" Type="http://schemas.openxmlformats.org/officeDocument/2006/relationships/hyperlink" Target="http://tiny.cc/chem-hygiene-plan"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bsafety@usc.edu" TargetMode="External"/><Relationship Id="rId23" Type="http://schemas.openxmlformats.org/officeDocument/2006/relationships/hyperlink" Target="https://tiny.cc/usc-ehs-RPP-fs" TargetMode="External"/><Relationship Id="rId28" Type="http://schemas.openxmlformats.org/officeDocument/2006/relationships/hyperlink" Target="http://tiny.cc/chem-hygiene-plan" TargetMode="External"/><Relationship Id="rId36" Type="http://schemas.openxmlformats.org/officeDocument/2006/relationships/hyperlink" Target="https://tiny.cc/usc-123" TargetMode="External"/><Relationship Id="rId10" Type="http://schemas.openxmlformats.org/officeDocument/2006/relationships/endnotes" Target="endnotes.xml"/><Relationship Id="rId19" Type="http://schemas.openxmlformats.org/officeDocument/2006/relationships/hyperlink" Target="http://tiny.cc/chem-hygiene-plan" TargetMode="External"/><Relationship Id="rId31" Type="http://schemas.openxmlformats.org/officeDocument/2006/relationships/hyperlink" Target="http://tiny.cc/chem-hygiene-pla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cc/chem-hygiene-plan" TargetMode="External"/><Relationship Id="rId22" Type="http://schemas.openxmlformats.org/officeDocument/2006/relationships/hyperlink" Target="https://tiny.cc/usc-ehs-fact-sheets" TargetMode="External"/><Relationship Id="rId27" Type="http://schemas.openxmlformats.org/officeDocument/2006/relationships/hyperlink" Target="https://tiny.cc/usc-ehs-fact-sheets" TargetMode="External"/><Relationship Id="rId30" Type="http://schemas.openxmlformats.org/officeDocument/2006/relationships/hyperlink" Target="http://tiny.cc/usc-spill-clnup" TargetMode="External"/><Relationship Id="rId35" Type="http://schemas.openxmlformats.org/officeDocument/2006/relationships/hyperlink" Target="http://tiny.cc/chem-hygiene-pla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tiny.cc/chem-hygiene-plan" TargetMode="External"/><Relationship Id="rId25" Type="http://schemas.openxmlformats.org/officeDocument/2006/relationships/hyperlink" Target="https://tiny.cc/usc-ehs-fact-sheets" TargetMode="External"/><Relationship Id="rId33" Type="http://schemas.openxmlformats.org/officeDocument/2006/relationships/hyperlink" Target="https://tiny.cc/usc-injury" TargetMode="External"/><Relationship Id="rId38" Type="http://schemas.openxmlformats.org/officeDocument/2006/relationships/hyperlink" Target="https://tiny.cc/usc-inju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3" ma:contentTypeDescription="Create a new document." ma:contentTypeScope="" ma:versionID="24cd6dedbbf611b39a83683a46076748">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0004a4e047970915b6242a6d30881e9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customXml/itemProps2.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customXml/itemProps3.xml><?xml version="1.0" encoding="utf-8"?>
<ds:datastoreItem xmlns:ds="http://schemas.openxmlformats.org/officeDocument/2006/customXml" ds:itemID="{E009D30E-3DF7-40CF-904E-85D15BB5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84A4B-1754-4327-A5A5-DF7AF48AB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EHS document template.dotx</Template>
  <TotalTime>195</TotalTime>
  <Pages>9</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18579</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47</cp:revision>
  <cp:lastPrinted>2020-04-22T00:41:00Z</cp:lastPrinted>
  <dcterms:created xsi:type="dcterms:W3CDTF">2022-04-01T18:32:00Z</dcterms:created>
  <dcterms:modified xsi:type="dcterms:W3CDTF">2022-04-14T17:04:00Z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